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04A" w:rsidRDefault="0017504A">
      <w:pPr>
        <w:jc w:val="both"/>
        <w:rPr>
          <w:rFonts w:ascii="Times New Roman" w:eastAsia="Arial Unicode MS" w:hAnsi="Times New Roman"/>
          <w:sz w:val="23"/>
          <w:szCs w:val="23"/>
        </w:rPr>
      </w:pPr>
      <w:bookmarkStart w:id="0" w:name="_GoBack"/>
      <w:bookmarkEnd w:id="0"/>
    </w:p>
    <w:p w:rsidR="0017504A" w:rsidRDefault="0017504A">
      <w:pPr>
        <w:jc w:val="both"/>
        <w:rPr>
          <w:rFonts w:ascii="Times New Roman" w:eastAsia="Arial Unicode MS" w:hAnsi="Times New Roman"/>
          <w:sz w:val="23"/>
          <w:szCs w:val="23"/>
        </w:rPr>
      </w:pPr>
    </w:p>
    <w:p w:rsidR="0017504A" w:rsidRDefault="0017504A">
      <w:pPr>
        <w:jc w:val="both"/>
        <w:rPr>
          <w:rFonts w:ascii="Times New Roman" w:eastAsia="Arial Unicode MS" w:hAnsi="Times New Roman"/>
          <w:sz w:val="23"/>
          <w:szCs w:val="23"/>
        </w:rPr>
      </w:pPr>
    </w:p>
    <w:p w:rsidR="0017504A" w:rsidRDefault="0017504A">
      <w:pPr>
        <w:tabs>
          <w:tab w:val="left" w:pos="3960"/>
        </w:tabs>
        <w:jc w:val="both"/>
        <w:rPr>
          <w:rFonts w:ascii="Times New Roman" w:eastAsia="Arial Unicode MS" w:hAnsi="Times New Roman"/>
          <w:sz w:val="52"/>
          <w:szCs w:val="52"/>
        </w:rPr>
      </w:pPr>
    </w:p>
    <w:p w:rsidR="0017504A" w:rsidRDefault="0017504A">
      <w:pPr>
        <w:tabs>
          <w:tab w:val="left" w:pos="3960"/>
        </w:tabs>
        <w:jc w:val="both"/>
        <w:rPr>
          <w:rFonts w:ascii="Times New Roman" w:eastAsia="Arial Unicode MS" w:hAnsi="Times New Roman"/>
          <w:sz w:val="52"/>
          <w:szCs w:val="52"/>
        </w:rPr>
      </w:pPr>
    </w:p>
    <w:p w:rsidR="0017504A" w:rsidRPr="00182697" w:rsidRDefault="000A7C01" w:rsidP="0017504A">
      <w:pPr>
        <w:pStyle w:val="Style19"/>
        <w:rPr>
          <w:rFonts w:asciiTheme="minorHAnsi" w:eastAsia="Arial Unicode MS" w:hAnsiTheme="minorHAnsi" w:cstheme="minorHAnsi"/>
          <w:sz w:val="80"/>
          <w:szCs w:val="80"/>
        </w:rPr>
      </w:pPr>
      <w:r>
        <w:rPr>
          <w:rFonts w:asciiTheme="minorHAnsi" w:eastAsia="Arial Unicode MS" w:hAnsiTheme="minorHAnsi" w:cstheme="minorHAnsi"/>
          <w:sz w:val="80"/>
          <w:szCs w:val="80"/>
        </w:rPr>
        <w:t>Ngā Ara Tika</w:t>
      </w:r>
    </w:p>
    <w:p w:rsidR="0017504A" w:rsidRPr="00182697" w:rsidRDefault="002D45D4" w:rsidP="00182697">
      <w:pPr>
        <w:pStyle w:val="Style19"/>
        <w:spacing w:before="240"/>
        <w:rPr>
          <w:rFonts w:asciiTheme="minorHAnsi" w:eastAsia="Arial Unicode MS" w:hAnsiTheme="minorHAnsi" w:cstheme="minorHAnsi"/>
          <w:b w:val="0"/>
          <w:sz w:val="44"/>
          <w:szCs w:val="44"/>
        </w:rPr>
      </w:pPr>
      <w:r w:rsidRPr="00182697">
        <w:rPr>
          <w:rFonts w:asciiTheme="minorHAnsi" w:eastAsia="Arial Unicode MS" w:hAnsiTheme="minorHAnsi" w:cstheme="minorHAnsi"/>
          <w:b w:val="0"/>
          <w:sz w:val="44"/>
          <w:szCs w:val="44"/>
        </w:rPr>
        <w:t xml:space="preserve">Integrated Practice Guidelines </w:t>
      </w:r>
      <w:r w:rsidR="00182697">
        <w:rPr>
          <w:rFonts w:asciiTheme="minorHAnsi" w:eastAsia="Arial Unicode MS" w:hAnsiTheme="minorHAnsi" w:cstheme="minorHAnsi"/>
          <w:b w:val="0"/>
          <w:sz w:val="44"/>
          <w:szCs w:val="44"/>
        </w:rPr>
        <w:br/>
      </w:r>
      <w:r w:rsidRPr="00182697">
        <w:rPr>
          <w:rFonts w:asciiTheme="minorHAnsi" w:eastAsia="Arial Unicode MS" w:hAnsiTheme="minorHAnsi" w:cstheme="minorHAnsi"/>
          <w:b w:val="0"/>
          <w:sz w:val="44"/>
          <w:szCs w:val="44"/>
        </w:rPr>
        <w:t xml:space="preserve">for </w:t>
      </w:r>
      <w:r w:rsidR="00DF6FA7" w:rsidRPr="00182697">
        <w:rPr>
          <w:rFonts w:asciiTheme="minorHAnsi" w:eastAsia="Arial Unicode MS" w:hAnsiTheme="minorHAnsi" w:cstheme="minorHAnsi"/>
          <w:b w:val="0"/>
          <w:sz w:val="44"/>
          <w:szCs w:val="44"/>
        </w:rPr>
        <w:t>Māori</w:t>
      </w:r>
      <w:r w:rsidR="005C6335" w:rsidRPr="00182697">
        <w:rPr>
          <w:rFonts w:asciiTheme="minorHAnsi" w:eastAsia="Arial Unicode MS" w:hAnsiTheme="minorHAnsi" w:cstheme="minorHAnsi"/>
          <w:b w:val="0"/>
          <w:sz w:val="44"/>
          <w:szCs w:val="44"/>
        </w:rPr>
        <w:t xml:space="preserve"> Oral Health Providers </w:t>
      </w:r>
      <w:r w:rsidR="00E1450F" w:rsidRPr="00182697">
        <w:rPr>
          <w:rFonts w:asciiTheme="minorHAnsi" w:eastAsia="Arial Unicode MS" w:hAnsiTheme="minorHAnsi" w:cstheme="minorHAnsi"/>
          <w:b w:val="0"/>
          <w:sz w:val="44"/>
          <w:szCs w:val="44"/>
        </w:rPr>
        <w:br/>
      </w:r>
      <w:r w:rsidRPr="00182697">
        <w:rPr>
          <w:rFonts w:asciiTheme="minorHAnsi" w:eastAsia="Arial Unicode MS" w:hAnsiTheme="minorHAnsi" w:cstheme="minorHAnsi"/>
          <w:b w:val="0"/>
          <w:sz w:val="44"/>
          <w:szCs w:val="44"/>
        </w:rPr>
        <w:t>in the Primary Care Setting</w:t>
      </w:r>
    </w:p>
    <w:p w:rsidR="0017504A" w:rsidRDefault="0017504A">
      <w:pPr>
        <w:tabs>
          <w:tab w:val="left" w:pos="3960"/>
        </w:tabs>
        <w:jc w:val="both"/>
        <w:rPr>
          <w:rFonts w:ascii="Times New Roman" w:eastAsia="Arial Unicode MS" w:hAnsi="Times New Roman"/>
          <w:b/>
          <w:sz w:val="72"/>
          <w:szCs w:val="72"/>
        </w:rPr>
      </w:pPr>
    </w:p>
    <w:p w:rsidR="0017504A" w:rsidRDefault="0017504A">
      <w:pPr>
        <w:tabs>
          <w:tab w:val="left" w:pos="3960"/>
        </w:tabs>
        <w:jc w:val="both"/>
        <w:rPr>
          <w:rFonts w:ascii="Times New Roman" w:eastAsia="Arial Unicode MS" w:hAnsi="Times New Roman"/>
          <w:b/>
          <w:sz w:val="36"/>
          <w:szCs w:val="36"/>
        </w:rPr>
      </w:pPr>
    </w:p>
    <w:p w:rsidR="0017504A" w:rsidRDefault="0017504A">
      <w:pPr>
        <w:tabs>
          <w:tab w:val="left" w:pos="3960"/>
        </w:tabs>
        <w:jc w:val="both"/>
        <w:rPr>
          <w:rFonts w:ascii="Times New Roman" w:eastAsia="Arial Unicode MS" w:hAnsi="Times New Roman"/>
          <w:b/>
          <w:sz w:val="36"/>
          <w:szCs w:val="36"/>
        </w:rPr>
      </w:pPr>
    </w:p>
    <w:p w:rsidR="0017504A" w:rsidRDefault="0017504A">
      <w:pPr>
        <w:tabs>
          <w:tab w:val="left" w:pos="3960"/>
        </w:tabs>
        <w:jc w:val="both"/>
        <w:rPr>
          <w:rFonts w:ascii="Times New Roman" w:eastAsia="Arial Unicode MS" w:hAnsi="Times New Roman"/>
          <w:b/>
          <w:sz w:val="36"/>
          <w:szCs w:val="36"/>
        </w:rPr>
      </w:pPr>
    </w:p>
    <w:p w:rsidR="0017504A" w:rsidRDefault="0017504A">
      <w:pPr>
        <w:tabs>
          <w:tab w:val="left" w:pos="3960"/>
        </w:tabs>
        <w:jc w:val="both"/>
        <w:rPr>
          <w:rFonts w:ascii="Times New Roman" w:eastAsia="Arial Unicode MS" w:hAnsi="Times New Roman"/>
          <w:b/>
          <w:sz w:val="36"/>
          <w:szCs w:val="36"/>
        </w:rPr>
      </w:pPr>
    </w:p>
    <w:p w:rsidR="0017504A" w:rsidRDefault="0017504A">
      <w:pPr>
        <w:tabs>
          <w:tab w:val="left" w:pos="3960"/>
        </w:tabs>
        <w:jc w:val="both"/>
        <w:rPr>
          <w:rFonts w:ascii="Times New Roman" w:eastAsia="Arial Unicode MS" w:hAnsi="Times New Roman"/>
          <w:b/>
          <w:sz w:val="36"/>
          <w:szCs w:val="36"/>
        </w:rPr>
      </w:pPr>
    </w:p>
    <w:p w:rsidR="0017504A" w:rsidRDefault="0017504A">
      <w:pPr>
        <w:tabs>
          <w:tab w:val="left" w:pos="3960"/>
        </w:tabs>
        <w:jc w:val="both"/>
        <w:rPr>
          <w:rFonts w:ascii="Times New Roman" w:eastAsia="Arial Unicode MS" w:hAnsi="Times New Roman"/>
          <w:b/>
          <w:sz w:val="36"/>
          <w:szCs w:val="36"/>
        </w:rPr>
      </w:pPr>
    </w:p>
    <w:p w:rsidR="0017504A" w:rsidRDefault="0017504A">
      <w:pPr>
        <w:tabs>
          <w:tab w:val="left" w:pos="3960"/>
        </w:tabs>
        <w:jc w:val="both"/>
        <w:rPr>
          <w:rFonts w:ascii="Times New Roman" w:eastAsia="Arial Unicode MS" w:hAnsi="Times New Roman"/>
          <w:b/>
          <w:sz w:val="36"/>
          <w:szCs w:val="36"/>
        </w:rPr>
      </w:pPr>
    </w:p>
    <w:p w:rsidR="0017504A" w:rsidRDefault="0017504A">
      <w:pPr>
        <w:tabs>
          <w:tab w:val="left" w:pos="3960"/>
        </w:tabs>
        <w:jc w:val="both"/>
        <w:rPr>
          <w:rFonts w:ascii="Times New Roman" w:eastAsia="Arial Unicode MS" w:hAnsi="Times New Roman"/>
          <w:b/>
          <w:sz w:val="36"/>
          <w:szCs w:val="36"/>
        </w:rPr>
      </w:pPr>
    </w:p>
    <w:p w:rsidR="007E7B29" w:rsidRDefault="007E7B29" w:rsidP="0017504A">
      <w:pPr>
        <w:tabs>
          <w:tab w:val="left" w:pos="3960"/>
        </w:tabs>
        <w:jc w:val="center"/>
        <w:rPr>
          <w:rFonts w:ascii="Times New Roman" w:eastAsia="Arial Unicode MS" w:hAnsi="Times New Roman"/>
          <w:sz w:val="56"/>
          <w:szCs w:val="56"/>
        </w:rPr>
      </w:pPr>
    </w:p>
    <w:p w:rsidR="007E7B29" w:rsidRDefault="007E7B29" w:rsidP="0017504A">
      <w:pPr>
        <w:tabs>
          <w:tab w:val="left" w:pos="3960"/>
        </w:tabs>
        <w:jc w:val="center"/>
        <w:rPr>
          <w:rFonts w:ascii="Times New Roman" w:eastAsia="Arial Unicode MS" w:hAnsi="Times New Roman"/>
          <w:sz w:val="56"/>
          <w:szCs w:val="56"/>
        </w:rPr>
      </w:pPr>
    </w:p>
    <w:p w:rsidR="007E7B29" w:rsidRDefault="007E7B29" w:rsidP="0017504A">
      <w:pPr>
        <w:tabs>
          <w:tab w:val="left" w:pos="3960"/>
        </w:tabs>
        <w:jc w:val="center"/>
        <w:rPr>
          <w:rFonts w:ascii="Times New Roman" w:eastAsia="Arial Unicode MS" w:hAnsi="Times New Roman"/>
          <w:sz w:val="56"/>
          <w:szCs w:val="56"/>
        </w:rPr>
      </w:pPr>
    </w:p>
    <w:p w:rsidR="007E7B29" w:rsidRDefault="007E7B29" w:rsidP="0017504A">
      <w:pPr>
        <w:tabs>
          <w:tab w:val="left" w:pos="3960"/>
        </w:tabs>
        <w:jc w:val="center"/>
        <w:rPr>
          <w:rFonts w:ascii="Times New Roman" w:eastAsia="Arial Unicode MS" w:hAnsi="Times New Roman"/>
          <w:sz w:val="56"/>
          <w:szCs w:val="56"/>
        </w:rPr>
      </w:pPr>
    </w:p>
    <w:p w:rsidR="00E85EC6" w:rsidRDefault="00E85EC6" w:rsidP="0017504A">
      <w:pPr>
        <w:tabs>
          <w:tab w:val="left" w:pos="3960"/>
        </w:tabs>
        <w:jc w:val="center"/>
        <w:rPr>
          <w:rFonts w:ascii="Times New Roman" w:eastAsia="Arial Unicode MS" w:hAnsi="Times New Roman"/>
          <w:sz w:val="56"/>
          <w:szCs w:val="56"/>
        </w:rPr>
      </w:pPr>
    </w:p>
    <w:p w:rsidR="00212B98" w:rsidRDefault="002D45D4" w:rsidP="00767AD7">
      <w:pPr>
        <w:pStyle w:val="HTMLPreformatted"/>
        <w:jc w:val="center"/>
        <w:rPr>
          <w:rFonts w:asciiTheme="minorHAnsi" w:eastAsia="Arial Unicode MS" w:hAnsiTheme="minorHAnsi" w:cstheme="minorHAnsi"/>
          <w:b/>
          <w:sz w:val="40"/>
          <w:szCs w:val="40"/>
        </w:rPr>
      </w:pPr>
      <w:r w:rsidRPr="00182697">
        <w:rPr>
          <w:rFonts w:asciiTheme="minorHAnsi" w:eastAsia="Arial Unicode MS" w:hAnsiTheme="minorHAnsi" w:cstheme="minorHAnsi"/>
          <w:b/>
          <w:sz w:val="48"/>
          <w:szCs w:val="48"/>
        </w:rPr>
        <w:t>2013</w:t>
      </w:r>
      <w:r w:rsidR="00212B98">
        <w:rPr>
          <w:rFonts w:asciiTheme="minorHAnsi" w:eastAsia="Arial Unicode MS" w:hAnsiTheme="minorHAnsi" w:cstheme="minorHAnsi"/>
          <w:b/>
          <w:sz w:val="48"/>
          <w:szCs w:val="48"/>
        </w:rPr>
        <w:t xml:space="preserve"> </w:t>
      </w:r>
      <w:r w:rsidR="00212B98" w:rsidRPr="00212B98">
        <w:rPr>
          <w:rFonts w:asciiTheme="minorHAnsi" w:eastAsia="Arial Unicode MS" w:hAnsiTheme="minorHAnsi" w:cstheme="minorHAnsi"/>
          <w:b/>
          <w:sz w:val="40"/>
          <w:szCs w:val="40"/>
        </w:rPr>
        <w:t>(updated 2016)</w:t>
      </w:r>
    </w:p>
    <w:p w:rsidR="00767AD7" w:rsidRPr="00767AD7" w:rsidRDefault="00767AD7" w:rsidP="00767AD7">
      <w:pPr>
        <w:pStyle w:val="HTMLPreformatted"/>
        <w:jc w:val="center"/>
        <w:rPr>
          <w:rFonts w:asciiTheme="minorHAnsi" w:hAnsiTheme="minorHAnsi" w:cstheme="minorHAnsi"/>
          <w:sz w:val="32"/>
          <w:szCs w:val="32"/>
        </w:rPr>
      </w:pPr>
      <w:r w:rsidRPr="00767AD7">
        <w:rPr>
          <w:rFonts w:asciiTheme="minorHAnsi" w:hAnsiTheme="minorHAnsi" w:cstheme="minorHAnsi"/>
          <w:sz w:val="32"/>
          <w:szCs w:val="32"/>
        </w:rPr>
        <w:t xml:space="preserve">National </w:t>
      </w:r>
      <w:r w:rsidR="00D04D2C">
        <w:rPr>
          <w:rFonts w:asciiTheme="minorHAnsi" w:hAnsiTheme="minorHAnsi" w:cstheme="minorHAnsi"/>
          <w:sz w:val="32"/>
          <w:szCs w:val="32"/>
        </w:rPr>
        <w:t>Māori</w:t>
      </w:r>
      <w:r w:rsidRPr="00767AD7">
        <w:rPr>
          <w:rFonts w:asciiTheme="minorHAnsi" w:hAnsiTheme="minorHAnsi" w:cstheme="minorHAnsi"/>
          <w:sz w:val="32"/>
          <w:szCs w:val="32"/>
        </w:rPr>
        <w:t xml:space="preserve"> Oral Health</w:t>
      </w:r>
    </w:p>
    <w:p w:rsidR="0017504A" w:rsidRPr="00767AD7" w:rsidRDefault="00767AD7" w:rsidP="00767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cstheme="minorHAnsi"/>
          <w:sz w:val="32"/>
          <w:szCs w:val="32"/>
          <w:lang w:eastAsia="en-NZ"/>
        </w:rPr>
      </w:pPr>
      <w:r w:rsidRPr="00767AD7">
        <w:rPr>
          <w:rFonts w:asciiTheme="minorHAnsi" w:hAnsiTheme="minorHAnsi" w:cstheme="minorHAnsi"/>
          <w:sz w:val="32"/>
          <w:szCs w:val="32"/>
          <w:lang w:eastAsia="en-NZ"/>
        </w:rPr>
        <w:t>Coordination Service</w:t>
      </w:r>
    </w:p>
    <w:p w:rsidR="0017504A" w:rsidRPr="001F4670" w:rsidRDefault="0017504A" w:rsidP="001F4670">
      <w:pPr>
        <w:tabs>
          <w:tab w:val="left" w:pos="3960"/>
        </w:tabs>
        <w:jc w:val="center"/>
        <w:rPr>
          <w:rFonts w:asciiTheme="minorHAnsi" w:eastAsia="Arial Unicode MS" w:hAnsiTheme="minorHAnsi"/>
          <w:b/>
        </w:rPr>
      </w:pPr>
    </w:p>
    <w:p w:rsidR="00825534" w:rsidRPr="005F0AA6" w:rsidRDefault="00825534" w:rsidP="00B04094">
      <w:pPr>
        <w:tabs>
          <w:tab w:val="left" w:pos="3960"/>
        </w:tabs>
        <w:jc w:val="both"/>
        <w:rPr>
          <w:rFonts w:ascii="Times New Roman" w:eastAsia="Arial Unicode MS" w:hAnsi="Times New Roman"/>
          <w:b/>
          <w:sz w:val="23"/>
          <w:szCs w:val="23"/>
        </w:rPr>
        <w:sectPr w:rsidR="00825534" w:rsidRPr="005F0AA6" w:rsidSect="00B3404D">
          <w:footerReference w:type="even" r:id="rId8"/>
          <w:footerReference w:type="default" r:id="rId9"/>
          <w:footerReference w:type="first" r:id="rId10"/>
          <w:pgSz w:w="11906" w:h="16838" w:code="9"/>
          <w:pgMar w:top="1440" w:right="1274" w:bottom="1440" w:left="1797" w:header="709" w:footer="709" w:gutter="0"/>
          <w:pgNumType w:start="0"/>
          <w:cols w:space="708"/>
          <w:titlePg/>
          <w:docGrid w:linePitch="360"/>
        </w:sectPr>
      </w:pPr>
    </w:p>
    <w:p w:rsidR="0017504A" w:rsidRDefault="002D45D4" w:rsidP="0036356E">
      <w:pPr>
        <w:pStyle w:val="Heading1"/>
      </w:pPr>
      <w:bookmarkStart w:id="1" w:name="_Toc473485911"/>
      <w:bookmarkStart w:id="2" w:name="_Toc270932965"/>
      <w:bookmarkStart w:id="3" w:name="_Toc213398398"/>
      <w:bookmarkStart w:id="4" w:name="_Toc241865313"/>
      <w:bookmarkStart w:id="5" w:name="_Toc241868040"/>
      <w:bookmarkStart w:id="6" w:name="_Toc241871490"/>
      <w:bookmarkStart w:id="7" w:name="_Toc248809537"/>
      <w:bookmarkStart w:id="8" w:name="_Toc248812312"/>
      <w:r w:rsidRPr="005F0AA6">
        <w:lastRenderedPageBreak/>
        <w:t>ACKNOWLEDGEMENTS</w:t>
      </w:r>
      <w:bookmarkEnd w:id="1"/>
    </w:p>
    <w:p w:rsidR="00FF2C89" w:rsidRPr="00182697" w:rsidRDefault="00FF2C89" w:rsidP="00C37D18">
      <w:pPr>
        <w:pStyle w:val="generalparagraph"/>
      </w:pPr>
      <w:r w:rsidRPr="00182697">
        <w:t xml:space="preserve">We wish to thank the Quality Improvement Group for </w:t>
      </w:r>
      <w:r w:rsidR="00E85EC6" w:rsidRPr="00182697">
        <w:t>Māori</w:t>
      </w:r>
      <w:r w:rsidRPr="00182697">
        <w:t xml:space="preserve"> oral health providers for t</w:t>
      </w:r>
      <w:r w:rsidR="00CF34DB">
        <w:t>heir expertise and leadership throughout the</w:t>
      </w:r>
      <w:r w:rsidRPr="00182697">
        <w:t xml:space="preserve"> development</w:t>
      </w:r>
      <w:r w:rsidR="00B34C30">
        <w:t xml:space="preserve"> and review </w:t>
      </w:r>
      <w:r w:rsidR="00CF34DB">
        <w:t xml:space="preserve">of these guidelines.  </w:t>
      </w:r>
    </w:p>
    <w:p w:rsidR="00EB5318" w:rsidRPr="00182697" w:rsidRDefault="00FF2C89" w:rsidP="002A7DE9">
      <w:pPr>
        <w:jc w:val="both"/>
        <w:rPr>
          <w:rFonts w:asciiTheme="minorHAnsi" w:eastAsia="Arial Unicode MS" w:hAnsiTheme="minorHAnsi" w:cstheme="minorHAnsi"/>
          <w:sz w:val="22"/>
          <w:szCs w:val="22"/>
        </w:rPr>
      </w:pPr>
      <w:r w:rsidRPr="00182697">
        <w:rPr>
          <w:rFonts w:asciiTheme="minorHAnsi" w:eastAsia="Arial Unicode MS" w:hAnsiTheme="minorHAnsi" w:cstheme="minorHAnsi"/>
          <w:sz w:val="22"/>
          <w:szCs w:val="22"/>
        </w:rPr>
        <w:t xml:space="preserve">We also acknowledge the contribution of the </w:t>
      </w:r>
      <w:r w:rsidR="00E85EC6" w:rsidRPr="00182697">
        <w:rPr>
          <w:rFonts w:asciiTheme="minorHAnsi" w:eastAsia="Arial Unicode MS" w:hAnsiTheme="minorHAnsi" w:cstheme="minorHAnsi"/>
          <w:sz w:val="22"/>
          <w:szCs w:val="22"/>
        </w:rPr>
        <w:t>Māori</w:t>
      </w:r>
      <w:r w:rsidRPr="00182697">
        <w:rPr>
          <w:rFonts w:asciiTheme="minorHAnsi" w:eastAsia="Arial Unicode MS" w:hAnsiTheme="minorHAnsi" w:cstheme="minorHAnsi"/>
          <w:sz w:val="22"/>
          <w:szCs w:val="22"/>
        </w:rPr>
        <w:t xml:space="preserve"> oral health providers and their primary care staff that attended workshops</w:t>
      </w:r>
      <w:r w:rsidR="00B34C30">
        <w:rPr>
          <w:rFonts w:asciiTheme="minorHAnsi" w:eastAsia="Arial Unicode MS" w:hAnsiTheme="minorHAnsi" w:cstheme="minorHAnsi"/>
          <w:sz w:val="22"/>
          <w:szCs w:val="22"/>
        </w:rPr>
        <w:t xml:space="preserve">, and </w:t>
      </w:r>
      <w:r w:rsidR="00CF34DB">
        <w:rPr>
          <w:rFonts w:asciiTheme="minorHAnsi" w:eastAsia="Arial Unicode MS" w:hAnsiTheme="minorHAnsi" w:cstheme="minorHAnsi"/>
          <w:sz w:val="22"/>
          <w:szCs w:val="22"/>
        </w:rPr>
        <w:t xml:space="preserve">provided vital service and </w:t>
      </w:r>
      <w:r w:rsidR="00B34C30">
        <w:rPr>
          <w:rFonts w:asciiTheme="minorHAnsi" w:eastAsia="Arial Unicode MS" w:hAnsiTheme="minorHAnsi" w:cstheme="minorHAnsi"/>
          <w:sz w:val="22"/>
          <w:szCs w:val="22"/>
        </w:rPr>
        <w:t>clinical input into the guidelines</w:t>
      </w:r>
      <w:r w:rsidRPr="00182697">
        <w:rPr>
          <w:rFonts w:asciiTheme="minorHAnsi" w:eastAsia="Arial Unicode MS" w:hAnsiTheme="minorHAnsi" w:cstheme="minorHAnsi"/>
          <w:sz w:val="22"/>
          <w:szCs w:val="22"/>
        </w:rPr>
        <w:t xml:space="preserve">.  </w:t>
      </w:r>
    </w:p>
    <w:p w:rsidR="00EB5318" w:rsidRPr="00182697" w:rsidRDefault="00EB5318" w:rsidP="002A7DE9">
      <w:pPr>
        <w:jc w:val="both"/>
        <w:rPr>
          <w:rFonts w:asciiTheme="minorHAnsi" w:eastAsia="Arial Unicode MS" w:hAnsiTheme="minorHAnsi" w:cstheme="minorHAnsi"/>
          <w:sz w:val="22"/>
          <w:szCs w:val="22"/>
        </w:rPr>
      </w:pPr>
    </w:p>
    <w:p w:rsidR="00FF2C89" w:rsidRPr="00182697" w:rsidRDefault="00476247" w:rsidP="002A7DE9">
      <w:pPr>
        <w:jc w:val="both"/>
        <w:rPr>
          <w:rFonts w:asciiTheme="minorHAnsi" w:eastAsia="Arial Unicode MS" w:hAnsiTheme="minorHAnsi" w:cstheme="minorHAnsi"/>
          <w:sz w:val="22"/>
          <w:szCs w:val="22"/>
        </w:rPr>
      </w:pPr>
      <w:r w:rsidRPr="00182697">
        <w:rPr>
          <w:rFonts w:asciiTheme="minorHAnsi" w:eastAsia="Arial Unicode MS" w:hAnsiTheme="minorHAnsi" w:cstheme="minorHAnsi"/>
          <w:sz w:val="22"/>
          <w:szCs w:val="22"/>
        </w:rPr>
        <w:t xml:space="preserve">We also wish to thank </w:t>
      </w:r>
      <w:r w:rsidR="00FF2C89" w:rsidRPr="00182697">
        <w:rPr>
          <w:rFonts w:asciiTheme="minorHAnsi" w:eastAsia="Arial Unicode MS" w:hAnsiTheme="minorHAnsi" w:cstheme="minorHAnsi"/>
          <w:sz w:val="22"/>
          <w:szCs w:val="22"/>
        </w:rPr>
        <w:t>Den</w:t>
      </w:r>
      <w:r w:rsidR="00F36D9B" w:rsidRPr="00182697">
        <w:rPr>
          <w:rFonts w:asciiTheme="minorHAnsi" w:eastAsia="Arial Unicode MS" w:hAnsiTheme="minorHAnsi" w:cstheme="minorHAnsi"/>
          <w:sz w:val="22"/>
          <w:szCs w:val="22"/>
        </w:rPr>
        <w:t>n</w:t>
      </w:r>
      <w:r w:rsidR="00FF2C89" w:rsidRPr="00182697">
        <w:rPr>
          <w:rFonts w:asciiTheme="minorHAnsi" w:eastAsia="Arial Unicode MS" w:hAnsiTheme="minorHAnsi" w:cstheme="minorHAnsi"/>
          <w:sz w:val="22"/>
          <w:szCs w:val="22"/>
        </w:rPr>
        <w:t>is Thorburn</w:t>
      </w:r>
      <w:r w:rsidR="00F36D9B" w:rsidRPr="00182697">
        <w:rPr>
          <w:rFonts w:asciiTheme="minorHAnsi" w:eastAsia="Arial Unicode MS" w:hAnsiTheme="minorHAnsi" w:cstheme="minorHAnsi"/>
          <w:sz w:val="22"/>
          <w:szCs w:val="22"/>
        </w:rPr>
        <w:t xml:space="preserve"> (Specialist in Oral Medicine)</w:t>
      </w:r>
      <w:r w:rsidR="00FF2C89" w:rsidRPr="00182697">
        <w:rPr>
          <w:rFonts w:asciiTheme="minorHAnsi" w:eastAsia="Arial Unicode MS" w:hAnsiTheme="minorHAnsi" w:cstheme="minorHAnsi"/>
          <w:sz w:val="22"/>
          <w:szCs w:val="22"/>
        </w:rPr>
        <w:t xml:space="preserve"> </w:t>
      </w:r>
      <w:r w:rsidRPr="00182697">
        <w:rPr>
          <w:rFonts w:asciiTheme="minorHAnsi" w:eastAsia="Arial Unicode MS" w:hAnsiTheme="minorHAnsi" w:cstheme="minorHAnsi"/>
          <w:sz w:val="22"/>
          <w:szCs w:val="22"/>
        </w:rPr>
        <w:t xml:space="preserve">for peer reviewing these guidelines.  </w:t>
      </w:r>
      <w:r w:rsidR="00FF2C89" w:rsidRPr="00182697">
        <w:rPr>
          <w:rFonts w:asciiTheme="minorHAnsi" w:eastAsia="Arial Unicode MS" w:hAnsiTheme="minorHAnsi" w:cstheme="minorHAnsi"/>
          <w:sz w:val="22"/>
          <w:szCs w:val="22"/>
        </w:rPr>
        <w:t xml:space="preserve"> </w:t>
      </w:r>
    </w:p>
    <w:p w:rsidR="00FF2C89" w:rsidRDefault="00FF2C89" w:rsidP="002A7DE9">
      <w:pPr>
        <w:jc w:val="both"/>
        <w:rPr>
          <w:rFonts w:asciiTheme="minorHAnsi" w:eastAsia="Arial Unicode MS" w:hAnsiTheme="minorHAnsi" w:cstheme="minorHAnsi"/>
          <w:sz w:val="22"/>
          <w:szCs w:val="22"/>
        </w:rPr>
      </w:pPr>
    </w:p>
    <w:p w:rsidR="00291296" w:rsidRPr="00291296" w:rsidRDefault="00F36D9B" w:rsidP="002A7DE9">
      <w:pPr>
        <w:pStyle w:val="HTMLPreformatted"/>
        <w:jc w:val="both"/>
        <w:rPr>
          <w:rFonts w:asciiTheme="minorHAnsi" w:eastAsia="Arial Unicode MS" w:hAnsiTheme="minorHAnsi" w:cstheme="minorHAnsi"/>
          <w:sz w:val="22"/>
          <w:szCs w:val="22"/>
          <w:lang w:eastAsia="en-AU"/>
        </w:rPr>
      </w:pPr>
      <w:r w:rsidRPr="00182697">
        <w:rPr>
          <w:rFonts w:asciiTheme="minorHAnsi" w:eastAsia="Arial Unicode MS" w:hAnsiTheme="minorHAnsi" w:cstheme="minorHAnsi"/>
          <w:sz w:val="22"/>
          <w:szCs w:val="22"/>
          <w:lang w:eastAsia="en-AU"/>
        </w:rPr>
        <w:t>Author</w:t>
      </w:r>
      <w:r w:rsidR="00FF2C89" w:rsidRPr="00182697">
        <w:rPr>
          <w:rFonts w:asciiTheme="minorHAnsi" w:eastAsia="Arial Unicode MS" w:hAnsiTheme="minorHAnsi" w:cstheme="minorHAnsi"/>
          <w:sz w:val="22"/>
          <w:szCs w:val="22"/>
          <w:lang w:eastAsia="en-AU"/>
        </w:rPr>
        <w:t xml:space="preserve">: Charrissa Makowharemahihi </w:t>
      </w:r>
      <w:r w:rsidR="00291296">
        <w:rPr>
          <w:rFonts w:asciiTheme="minorHAnsi" w:eastAsia="Arial Unicode MS" w:hAnsiTheme="minorHAnsi" w:cstheme="minorHAnsi"/>
          <w:sz w:val="22"/>
          <w:szCs w:val="22"/>
          <w:lang w:eastAsia="en-AU"/>
        </w:rPr>
        <w:t>(</w:t>
      </w:r>
      <w:r w:rsidR="00CF34DB">
        <w:rPr>
          <w:rFonts w:asciiTheme="minorHAnsi" w:eastAsia="Arial Unicode MS" w:hAnsiTheme="minorHAnsi" w:cstheme="minorHAnsi"/>
          <w:sz w:val="22"/>
          <w:szCs w:val="22"/>
          <w:lang w:eastAsia="en-AU"/>
        </w:rPr>
        <w:t xml:space="preserve">Strategic Advisor, </w:t>
      </w:r>
      <w:r w:rsidR="00CF5753" w:rsidRPr="00CF5753">
        <w:rPr>
          <w:rFonts w:asciiTheme="minorHAnsi" w:eastAsia="Arial Unicode MS" w:hAnsiTheme="minorHAnsi" w:cstheme="minorHAnsi"/>
          <w:sz w:val="22"/>
          <w:szCs w:val="22"/>
          <w:lang w:eastAsia="en-AU"/>
        </w:rPr>
        <w:t>National Māori Oral Health</w:t>
      </w:r>
      <w:r w:rsidR="00291296">
        <w:rPr>
          <w:rFonts w:asciiTheme="minorHAnsi" w:eastAsia="Arial Unicode MS" w:hAnsiTheme="minorHAnsi" w:cstheme="minorHAnsi"/>
          <w:sz w:val="22"/>
          <w:szCs w:val="22"/>
          <w:lang w:eastAsia="en-AU"/>
        </w:rPr>
        <w:t xml:space="preserve"> </w:t>
      </w:r>
      <w:r w:rsidR="009C3D5D">
        <w:rPr>
          <w:rFonts w:asciiTheme="minorHAnsi" w:eastAsia="Arial Unicode MS" w:hAnsiTheme="minorHAnsi" w:cstheme="minorHAnsi"/>
          <w:sz w:val="22"/>
          <w:szCs w:val="22"/>
          <w:lang w:eastAsia="en-AU"/>
        </w:rPr>
        <w:t>Coordination Service</w:t>
      </w:r>
      <w:r w:rsidR="00DC379A">
        <w:rPr>
          <w:rFonts w:asciiTheme="minorHAnsi" w:eastAsia="Arial Unicode MS" w:hAnsiTheme="minorHAnsi" w:cstheme="minorHAnsi"/>
          <w:sz w:val="22"/>
          <w:szCs w:val="22"/>
          <w:lang w:eastAsia="en-AU"/>
        </w:rPr>
        <w:t>)</w:t>
      </w:r>
      <w:r w:rsidR="00305B77">
        <w:rPr>
          <w:rFonts w:asciiTheme="minorHAnsi" w:eastAsia="Arial Unicode MS" w:hAnsiTheme="minorHAnsi" w:cstheme="minorHAnsi"/>
          <w:sz w:val="22"/>
          <w:szCs w:val="22"/>
          <w:lang w:eastAsia="en-AU"/>
        </w:rPr>
        <w:t>.</w:t>
      </w:r>
    </w:p>
    <w:p w:rsidR="00FF2C89" w:rsidRPr="00182697" w:rsidRDefault="00FF2C89" w:rsidP="002A7DE9">
      <w:pPr>
        <w:spacing w:before="240"/>
        <w:jc w:val="both"/>
        <w:rPr>
          <w:rFonts w:asciiTheme="minorHAnsi" w:eastAsia="Arial Unicode MS" w:hAnsiTheme="minorHAnsi" w:cstheme="minorHAnsi"/>
          <w:sz w:val="22"/>
          <w:szCs w:val="22"/>
        </w:rPr>
      </w:pPr>
    </w:p>
    <w:p w:rsidR="0017504A" w:rsidRPr="005C6335" w:rsidRDefault="0017504A">
      <w:pPr>
        <w:jc w:val="both"/>
        <w:rPr>
          <w:rFonts w:ascii="Times New Roman" w:eastAsia="Arial Unicode MS" w:hAnsi="Times New Roman"/>
        </w:rPr>
      </w:pPr>
    </w:p>
    <w:p w:rsidR="0017504A" w:rsidRPr="005C6335" w:rsidRDefault="0017504A">
      <w:pPr>
        <w:jc w:val="both"/>
        <w:rPr>
          <w:rFonts w:ascii="Times New Roman" w:eastAsia="Arial Unicode MS" w:hAnsi="Times New Roman"/>
        </w:rPr>
      </w:pPr>
    </w:p>
    <w:p w:rsidR="0017504A" w:rsidRDefault="002D45D4" w:rsidP="0036356E">
      <w:pPr>
        <w:pStyle w:val="Heading1"/>
      </w:pPr>
      <w:r w:rsidRPr="005C6335">
        <w:rPr>
          <w:sz w:val="24"/>
          <w:szCs w:val="24"/>
        </w:rPr>
        <w:br w:type="page"/>
      </w:r>
      <w:bookmarkStart w:id="9" w:name="_Toc473485912"/>
      <w:bookmarkStart w:id="10" w:name="_Toc270932972"/>
      <w:bookmarkEnd w:id="2"/>
      <w:r w:rsidRPr="005F0AA6">
        <w:lastRenderedPageBreak/>
        <w:t>CONTENTS</w:t>
      </w:r>
      <w:bookmarkEnd w:id="9"/>
      <w:r w:rsidRPr="005F0AA6">
        <w:t xml:space="preserve"> </w:t>
      </w:r>
    </w:p>
    <w:p w:rsidR="00B34C30" w:rsidRDefault="007E1EF7">
      <w:pPr>
        <w:pStyle w:val="TOC1"/>
        <w:rPr>
          <w:rFonts w:asciiTheme="minorHAnsi" w:eastAsiaTheme="minorEastAsia" w:hAnsiTheme="minorHAnsi" w:cstheme="minorBidi"/>
          <w:color w:val="auto"/>
          <w:kern w:val="0"/>
          <w:sz w:val="22"/>
          <w:szCs w:val="22"/>
          <w:lang w:val="en-US" w:eastAsia="en-US"/>
        </w:rPr>
      </w:pPr>
      <w:r w:rsidRPr="00E356B0">
        <w:rPr>
          <w:rFonts w:asciiTheme="minorHAnsi" w:hAnsiTheme="minorHAnsi" w:cstheme="minorHAnsi"/>
          <w:color w:val="auto"/>
        </w:rPr>
        <w:fldChar w:fldCharType="begin"/>
      </w:r>
      <w:r w:rsidR="002D45D4" w:rsidRPr="00E356B0">
        <w:rPr>
          <w:rFonts w:asciiTheme="minorHAnsi" w:hAnsiTheme="minorHAnsi" w:cstheme="minorHAnsi"/>
          <w:color w:val="auto"/>
        </w:rPr>
        <w:instrText xml:space="preserve"> TOC \o "1-3" \h \z \u </w:instrText>
      </w:r>
      <w:r w:rsidRPr="00E356B0">
        <w:rPr>
          <w:rFonts w:asciiTheme="minorHAnsi" w:hAnsiTheme="minorHAnsi" w:cstheme="minorHAnsi"/>
          <w:color w:val="auto"/>
        </w:rPr>
        <w:fldChar w:fldCharType="separate"/>
      </w:r>
      <w:hyperlink w:anchor="_Toc473485911" w:history="1">
        <w:r w:rsidR="00B34C30" w:rsidRPr="00105D0F">
          <w:rPr>
            <w:rStyle w:val="Hyperlink"/>
          </w:rPr>
          <w:t>ACKNOWLEDGEMENTS</w:t>
        </w:r>
        <w:r w:rsidR="00B34C30">
          <w:rPr>
            <w:webHidden/>
          </w:rPr>
          <w:tab/>
        </w:r>
        <w:r w:rsidR="00B34C30">
          <w:rPr>
            <w:webHidden/>
          </w:rPr>
          <w:fldChar w:fldCharType="begin"/>
        </w:r>
        <w:r w:rsidR="00B34C30">
          <w:rPr>
            <w:webHidden/>
          </w:rPr>
          <w:instrText xml:space="preserve"> PAGEREF _Toc473485911 \h </w:instrText>
        </w:r>
        <w:r w:rsidR="00B34C30">
          <w:rPr>
            <w:webHidden/>
          </w:rPr>
        </w:r>
        <w:r w:rsidR="00B34C30">
          <w:rPr>
            <w:webHidden/>
          </w:rPr>
          <w:fldChar w:fldCharType="separate"/>
        </w:r>
        <w:r w:rsidR="00B34C30">
          <w:rPr>
            <w:webHidden/>
          </w:rPr>
          <w:t>i</w:t>
        </w:r>
        <w:r w:rsidR="00B34C30">
          <w:rPr>
            <w:webHidden/>
          </w:rPr>
          <w:fldChar w:fldCharType="end"/>
        </w:r>
      </w:hyperlink>
    </w:p>
    <w:p w:rsidR="00B34C30" w:rsidRDefault="00CC49E3">
      <w:pPr>
        <w:pStyle w:val="TOC1"/>
        <w:rPr>
          <w:rFonts w:asciiTheme="minorHAnsi" w:eastAsiaTheme="minorEastAsia" w:hAnsiTheme="minorHAnsi" w:cstheme="minorBidi"/>
          <w:color w:val="auto"/>
          <w:kern w:val="0"/>
          <w:sz w:val="22"/>
          <w:szCs w:val="22"/>
          <w:lang w:val="en-US" w:eastAsia="en-US"/>
        </w:rPr>
      </w:pPr>
      <w:hyperlink w:anchor="_Toc473485912" w:history="1">
        <w:r w:rsidR="00B34C30" w:rsidRPr="00105D0F">
          <w:rPr>
            <w:rStyle w:val="Hyperlink"/>
          </w:rPr>
          <w:t>CONTENTS</w:t>
        </w:r>
        <w:r w:rsidR="00B34C30">
          <w:rPr>
            <w:webHidden/>
          </w:rPr>
          <w:tab/>
        </w:r>
        <w:r w:rsidR="00B34C30">
          <w:rPr>
            <w:webHidden/>
          </w:rPr>
          <w:fldChar w:fldCharType="begin"/>
        </w:r>
        <w:r w:rsidR="00B34C30">
          <w:rPr>
            <w:webHidden/>
          </w:rPr>
          <w:instrText xml:space="preserve"> PAGEREF _Toc473485912 \h </w:instrText>
        </w:r>
        <w:r w:rsidR="00B34C30">
          <w:rPr>
            <w:webHidden/>
          </w:rPr>
        </w:r>
        <w:r w:rsidR="00B34C30">
          <w:rPr>
            <w:webHidden/>
          </w:rPr>
          <w:fldChar w:fldCharType="separate"/>
        </w:r>
        <w:r w:rsidR="00B34C30">
          <w:rPr>
            <w:webHidden/>
          </w:rPr>
          <w:t>ii</w:t>
        </w:r>
        <w:r w:rsidR="00B34C30">
          <w:rPr>
            <w:webHidden/>
          </w:rPr>
          <w:fldChar w:fldCharType="end"/>
        </w:r>
      </w:hyperlink>
    </w:p>
    <w:p w:rsidR="00B34C30" w:rsidRDefault="00CC49E3">
      <w:pPr>
        <w:pStyle w:val="TOC1"/>
        <w:rPr>
          <w:rFonts w:asciiTheme="minorHAnsi" w:eastAsiaTheme="minorEastAsia" w:hAnsiTheme="minorHAnsi" w:cstheme="minorBidi"/>
          <w:color w:val="auto"/>
          <w:kern w:val="0"/>
          <w:sz w:val="22"/>
          <w:szCs w:val="22"/>
          <w:lang w:val="en-US" w:eastAsia="en-US"/>
        </w:rPr>
      </w:pPr>
      <w:hyperlink w:anchor="_Toc473485913" w:history="1">
        <w:r w:rsidR="00B34C30" w:rsidRPr="00105D0F">
          <w:rPr>
            <w:rStyle w:val="Hyperlink"/>
          </w:rPr>
          <w:t>GLOSSARY</w:t>
        </w:r>
        <w:r w:rsidR="00B34C30">
          <w:rPr>
            <w:webHidden/>
          </w:rPr>
          <w:tab/>
        </w:r>
        <w:r w:rsidR="00B34C30">
          <w:rPr>
            <w:webHidden/>
          </w:rPr>
          <w:fldChar w:fldCharType="begin"/>
        </w:r>
        <w:r w:rsidR="00B34C30">
          <w:rPr>
            <w:webHidden/>
          </w:rPr>
          <w:instrText xml:space="preserve"> PAGEREF _Toc473485913 \h </w:instrText>
        </w:r>
        <w:r w:rsidR="00B34C30">
          <w:rPr>
            <w:webHidden/>
          </w:rPr>
        </w:r>
        <w:r w:rsidR="00B34C30">
          <w:rPr>
            <w:webHidden/>
          </w:rPr>
          <w:fldChar w:fldCharType="separate"/>
        </w:r>
        <w:r w:rsidR="00B34C30">
          <w:rPr>
            <w:webHidden/>
          </w:rPr>
          <w:t>iii</w:t>
        </w:r>
        <w:r w:rsidR="00B34C30">
          <w:rPr>
            <w:webHidden/>
          </w:rPr>
          <w:fldChar w:fldCharType="end"/>
        </w:r>
      </w:hyperlink>
    </w:p>
    <w:p w:rsidR="00B34C30" w:rsidRDefault="00CC49E3">
      <w:pPr>
        <w:pStyle w:val="TOC1"/>
        <w:rPr>
          <w:rFonts w:asciiTheme="minorHAnsi" w:eastAsiaTheme="minorEastAsia" w:hAnsiTheme="minorHAnsi" w:cstheme="minorBidi"/>
          <w:color w:val="auto"/>
          <w:kern w:val="0"/>
          <w:sz w:val="22"/>
          <w:szCs w:val="22"/>
          <w:lang w:val="en-US" w:eastAsia="en-US"/>
        </w:rPr>
      </w:pPr>
      <w:hyperlink w:anchor="_Toc473485914" w:history="1">
        <w:r w:rsidR="00B34C30" w:rsidRPr="00105D0F">
          <w:rPr>
            <w:rStyle w:val="Hyperlink"/>
          </w:rPr>
          <w:t>INTRODUCTION</w:t>
        </w:r>
        <w:r w:rsidR="00B34C30">
          <w:rPr>
            <w:webHidden/>
          </w:rPr>
          <w:tab/>
        </w:r>
        <w:r w:rsidR="00B34C30">
          <w:rPr>
            <w:webHidden/>
          </w:rPr>
          <w:fldChar w:fldCharType="begin"/>
        </w:r>
        <w:r w:rsidR="00B34C30">
          <w:rPr>
            <w:webHidden/>
          </w:rPr>
          <w:instrText xml:space="preserve"> PAGEREF _Toc473485914 \h </w:instrText>
        </w:r>
        <w:r w:rsidR="00B34C30">
          <w:rPr>
            <w:webHidden/>
          </w:rPr>
        </w:r>
        <w:r w:rsidR="00B34C30">
          <w:rPr>
            <w:webHidden/>
          </w:rPr>
          <w:fldChar w:fldCharType="separate"/>
        </w:r>
        <w:r w:rsidR="00B34C30">
          <w:rPr>
            <w:webHidden/>
          </w:rPr>
          <w:t>1</w:t>
        </w:r>
        <w:r w:rsidR="00B34C30">
          <w:rPr>
            <w:webHidden/>
          </w:rPr>
          <w:fldChar w:fldCharType="end"/>
        </w:r>
      </w:hyperlink>
    </w:p>
    <w:p w:rsidR="00B34C30" w:rsidRDefault="00CC49E3">
      <w:pPr>
        <w:pStyle w:val="TOC2"/>
        <w:rPr>
          <w:rFonts w:asciiTheme="minorHAnsi" w:eastAsiaTheme="minorEastAsia" w:hAnsiTheme="minorHAnsi" w:cstheme="minorBidi"/>
          <w:kern w:val="0"/>
          <w:sz w:val="22"/>
          <w:szCs w:val="22"/>
          <w:lang w:val="en-US" w:eastAsia="en-US"/>
        </w:rPr>
      </w:pPr>
      <w:hyperlink w:anchor="_Toc473485915" w:history="1">
        <w:r w:rsidR="00B34C30" w:rsidRPr="00105D0F">
          <w:rPr>
            <w:rStyle w:val="Hyperlink"/>
          </w:rPr>
          <w:t>ABOUT THE GUIDELINES</w:t>
        </w:r>
        <w:r w:rsidR="00B34C30">
          <w:rPr>
            <w:webHidden/>
          </w:rPr>
          <w:tab/>
        </w:r>
        <w:r w:rsidR="00B34C30">
          <w:rPr>
            <w:webHidden/>
          </w:rPr>
          <w:fldChar w:fldCharType="begin"/>
        </w:r>
        <w:r w:rsidR="00B34C30">
          <w:rPr>
            <w:webHidden/>
          </w:rPr>
          <w:instrText xml:space="preserve"> PAGEREF _Toc473485915 \h </w:instrText>
        </w:r>
        <w:r w:rsidR="00B34C30">
          <w:rPr>
            <w:webHidden/>
          </w:rPr>
        </w:r>
        <w:r w:rsidR="00B34C30">
          <w:rPr>
            <w:webHidden/>
          </w:rPr>
          <w:fldChar w:fldCharType="separate"/>
        </w:r>
        <w:r w:rsidR="00B34C30">
          <w:rPr>
            <w:webHidden/>
          </w:rPr>
          <w:t>1</w:t>
        </w:r>
        <w:r w:rsidR="00B34C30">
          <w:rPr>
            <w:webHidden/>
          </w:rPr>
          <w:fldChar w:fldCharType="end"/>
        </w:r>
      </w:hyperlink>
    </w:p>
    <w:p w:rsidR="00B34C30" w:rsidRDefault="00CC49E3">
      <w:pPr>
        <w:pStyle w:val="TOC2"/>
        <w:rPr>
          <w:rFonts w:asciiTheme="minorHAnsi" w:eastAsiaTheme="minorEastAsia" w:hAnsiTheme="minorHAnsi" w:cstheme="minorBidi"/>
          <w:kern w:val="0"/>
          <w:sz w:val="22"/>
          <w:szCs w:val="22"/>
          <w:lang w:val="en-US" w:eastAsia="en-US"/>
        </w:rPr>
      </w:pPr>
      <w:hyperlink w:anchor="_Toc473485916" w:history="1">
        <w:r w:rsidR="00B34C30" w:rsidRPr="00105D0F">
          <w:rPr>
            <w:rStyle w:val="Hyperlink"/>
          </w:rPr>
          <w:t>TARGET AUDIENCE</w:t>
        </w:r>
        <w:r w:rsidR="00B34C30">
          <w:rPr>
            <w:webHidden/>
          </w:rPr>
          <w:tab/>
        </w:r>
        <w:r w:rsidR="00B34C30">
          <w:rPr>
            <w:webHidden/>
          </w:rPr>
          <w:fldChar w:fldCharType="begin"/>
        </w:r>
        <w:r w:rsidR="00B34C30">
          <w:rPr>
            <w:webHidden/>
          </w:rPr>
          <w:instrText xml:space="preserve"> PAGEREF _Toc473485916 \h </w:instrText>
        </w:r>
        <w:r w:rsidR="00B34C30">
          <w:rPr>
            <w:webHidden/>
          </w:rPr>
        </w:r>
        <w:r w:rsidR="00B34C30">
          <w:rPr>
            <w:webHidden/>
          </w:rPr>
          <w:fldChar w:fldCharType="separate"/>
        </w:r>
        <w:r w:rsidR="00B34C30">
          <w:rPr>
            <w:webHidden/>
          </w:rPr>
          <w:t>2</w:t>
        </w:r>
        <w:r w:rsidR="00B34C30">
          <w:rPr>
            <w:webHidden/>
          </w:rPr>
          <w:fldChar w:fldCharType="end"/>
        </w:r>
      </w:hyperlink>
    </w:p>
    <w:p w:rsidR="00B34C30" w:rsidRDefault="00CC49E3">
      <w:pPr>
        <w:pStyle w:val="TOC2"/>
        <w:rPr>
          <w:rFonts w:asciiTheme="minorHAnsi" w:eastAsiaTheme="minorEastAsia" w:hAnsiTheme="minorHAnsi" w:cstheme="minorBidi"/>
          <w:kern w:val="0"/>
          <w:sz w:val="22"/>
          <w:szCs w:val="22"/>
          <w:lang w:val="en-US" w:eastAsia="en-US"/>
        </w:rPr>
      </w:pPr>
      <w:hyperlink w:anchor="_Toc473485917" w:history="1">
        <w:r w:rsidR="00B34C30" w:rsidRPr="00105D0F">
          <w:rPr>
            <w:rStyle w:val="Hyperlink"/>
          </w:rPr>
          <w:t>GRADING OF RECOMMENDED PRACTICES</w:t>
        </w:r>
        <w:r w:rsidR="00B34C30">
          <w:rPr>
            <w:webHidden/>
          </w:rPr>
          <w:tab/>
        </w:r>
        <w:r w:rsidR="00B34C30">
          <w:rPr>
            <w:webHidden/>
          </w:rPr>
          <w:fldChar w:fldCharType="begin"/>
        </w:r>
        <w:r w:rsidR="00B34C30">
          <w:rPr>
            <w:webHidden/>
          </w:rPr>
          <w:instrText xml:space="preserve"> PAGEREF _Toc473485917 \h </w:instrText>
        </w:r>
        <w:r w:rsidR="00B34C30">
          <w:rPr>
            <w:webHidden/>
          </w:rPr>
        </w:r>
        <w:r w:rsidR="00B34C30">
          <w:rPr>
            <w:webHidden/>
          </w:rPr>
          <w:fldChar w:fldCharType="separate"/>
        </w:r>
        <w:r w:rsidR="00B34C30">
          <w:rPr>
            <w:webHidden/>
          </w:rPr>
          <w:t>2</w:t>
        </w:r>
        <w:r w:rsidR="00B34C30">
          <w:rPr>
            <w:webHidden/>
          </w:rPr>
          <w:fldChar w:fldCharType="end"/>
        </w:r>
      </w:hyperlink>
    </w:p>
    <w:p w:rsidR="00B34C30" w:rsidRDefault="00CC49E3">
      <w:pPr>
        <w:pStyle w:val="TOC1"/>
        <w:rPr>
          <w:rFonts w:asciiTheme="minorHAnsi" w:eastAsiaTheme="minorEastAsia" w:hAnsiTheme="minorHAnsi" w:cstheme="minorBidi"/>
          <w:color w:val="auto"/>
          <w:kern w:val="0"/>
          <w:sz w:val="22"/>
          <w:szCs w:val="22"/>
          <w:lang w:val="en-US" w:eastAsia="en-US"/>
        </w:rPr>
      </w:pPr>
      <w:hyperlink w:anchor="_Toc473485918" w:history="1">
        <w:r w:rsidR="00B34C30" w:rsidRPr="00105D0F">
          <w:rPr>
            <w:rStyle w:val="Hyperlink"/>
          </w:rPr>
          <w:t>NGĀ ARA TIKA: INTEGRATED PRACTICES FOR HELPING PEOPLE WHO SMOKE TO STOP</w:t>
        </w:r>
        <w:r w:rsidR="00B34C30">
          <w:rPr>
            <w:webHidden/>
          </w:rPr>
          <w:tab/>
        </w:r>
        <w:r w:rsidR="00B34C30">
          <w:rPr>
            <w:webHidden/>
          </w:rPr>
          <w:fldChar w:fldCharType="begin"/>
        </w:r>
        <w:r w:rsidR="00B34C30">
          <w:rPr>
            <w:webHidden/>
          </w:rPr>
          <w:instrText xml:space="preserve"> PAGEREF _Toc473485918 \h </w:instrText>
        </w:r>
        <w:r w:rsidR="00B34C30">
          <w:rPr>
            <w:webHidden/>
          </w:rPr>
        </w:r>
        <w:r w:rsidR="00B34C30">
          <w:rPr>
            <w:webHidden/>
          </w:rPr>
          <w:fldChar w:fldCharType="separate"/>
        </w:r>
        <w:r w:rsidR="00B34C30">
          <w:rPr>
            <w:webHidden/>
          </w:rPr>
          <w:t>3</w:t>
        </w:r>
        <w:r w:rsidR="00B34C30">
          <w:rPr>
            <w:webHidden/>
          </w:rPr>
          <w:fldChar w:fldCharType="end"/>
        </w:r>
      </w:hyperlink>
    </w:p>
    <w:p w:rsidR="00B34C30" w:rsidRDefault="00CC49E3">
      <w:pPr>
        <w:pStyle w:val="TOC2"/>
        <w:rPr>
          <w:rFonts w:asciiTheme="minorHAnsi" w:eastAsiaTheme="minorEastAsia" w:hAnsiTheme="minorHAnsi" w:cstheme="minorBidi"/>
          <w:kern w:val="0"/>
          <w:sz w:val="22"/>
          <w:szCs w:val="22"/>
          <w:lang w:val="en-US" w:eastAsia="en-US"/>
        </w:rPr>
      </w:pPr>
      <w:hyperlink w:anchor="_Toc473485919" w:history="1">
        <w:r w:rsidR="00B34C30" w:rsidRPr="00105D0F">
          <w:rPr>
            <w:rStyle w:val="Hyperlink"/>
          </w:rPr>
          <w:t>RATIONALE</w:t>
        </w:r>
        <w:r w:rsidR="00B34C30">
          <w:rPr>
            <w:webHidden/>
          </w:rPr>
          <w:tab/>
        </w:r>
        <w:r w:rsidR="00B34C30">
          <w:rPr>
            <w:webHidden/>
          </w:rPr>
          <w:fldChar w:fldCharType="begin"/>
        </w:r>
        <w:r w:rsidR="00B34C30">
          <w:rPr>
            <w:webHidden/>
          </w:rPr>
          <w:instrText xml:space="preserve"> PAGEREF _Toc473485919 \h </w:instrText>
        </w:r>
        <w:r w:rsidR="00B34C30">
          <w:rPr>
            <w:webHidden/>
          </w:rPr>
        </w:r>
        <w:r w:rsidR="00B34C30">
          <w:rPr>
            <w:webHidden/>
          </w:rPr>
          <w:fldChar w:fldCharType="separate"/>
        </w:r>
        <w:r w:rsidR="00B34C30">
          <w:rPr>
            <w:webHidden/>
          </w:rPr>
          <w:t>3</w:t>
        </w:r>
        <w:r w:rsidR="00B34C30">
          <w:rPr>
            <w:webHidden/>
          </w:rPr>
          <w:fldChar w:fldCharType="end"/>
        </w:r>
      </w:hyperlink>
    </w:p>
    <w:p w:rsidR="00B34C30" w:rsidRDefault="00CC49E3">
      <w:pPr>
        <w:pStyle w:val="TOC2"/>
        <w:rPr>
          <w:rFonts w:asciiTheme="minorHAnsi" w:eastAsiaTheme="minorEastAsia" w:hAnsiTheme="minorHAnsi" w:cstheme="minorBidi"/>
          <w:kern w:val="0"/>
          <w:sz w:val="22"/>
          <w:szCs w:val="22"/>
          <w:lang w:val="en-US" w:eastAsia="en-US"/>
        </w:rPr>
      </w:pPr>
      <w:hyperlink w:anchor="_Toc473485920" w:history="1">
        <w:r w:rsidR="00B34C30" w:rsidRPr="00105D0F">
          <w:rPr>
            <w:rStyle w:val="Hyperlink"/>
          </w:rPr>
          <w:t>INTEGRATED PRACTICES</w:t>
        </w:r>
        <w:r w:rsidR="00B34C30">
          <w:rPr>
            <w:webHidden/>
          </w:rPr>
          <w:tab/>
        </w:r>
        <w:r w:rsidR="00B34C30">
          <w:rPr>
            <w:webHidden/>
          </w:rPr>
          <w:fldChar w:fldCharType="begin"/>
        </w:r>
        <w:r w:rsidR="00B34C30">
          <w:rPr>
            <w:webHidden/>
          </w:rPr>
          <w:instrText xml:space="preserve"> PAGEREF _Toc473485920 \h </w:instrText>
        </w:r>
        <w:r w:rsidR="00B34C30">
          <w:rPr>
            <w:webHidden/>
          </w:rPr>
        </w:r>
        <w:r w:rsidR="00B34C30">
          <w:rPr>
            <w:webHidden/>
          </w:rPr>
          <w:fldChar w:fldCharType="separate"/>
        </w:r>
        <w:r w:rsidR="00B34C30">
          <w:rPr>
            <w:webHidden/>
          </w:rPr>
          <w:t>3</w:t>
        </w:r>
        <w:r w:rsidR="00B34C30">
          <w:rPr>
            <w:webHidden/>
          </w:rPr>
          <w:fldChar w:fldCharType="end"/>
        </w:r>
      </w:hyperlink>
    </w:p>
    <w:p w:rsidR="00B34C30" w:rsidRDefault="00CC49E3">
      <w:pPr>
        <w:pStyle w:val="TOC2"/>
        <w:rPr>
          <w:rFonts w:asciiTheme="minorHAnsi" w:eastAsiaTheme="minorEastAsia" w:hAnsiTheme="minorHAnsi" w:cstheme="minorBidi"/>
          <w:kern w:val="0"/>
          <w:sz w:val="22"/>
          <w:szCs w:val="22"/>
          <w:lang w:val="en-US" w:eastAsia="en-US"/>
        </w:rPr>
      </w:pPr>
      <w:hyperlink w:anchor="_Toc473485921" w:history="1">
        <w:r w:rsidR="00B34C30" w:rsidRPr="00105D0F">
          <w:rPr>
            <w:rStyle w:val="Hyperlink"/>
          </w:rPr>
          <w:t>OTHER KEY GUIDELINES AND DOCUMENTS</w:t>
        </w:r>
        <w:r w:rsidR="00B34C30">
          <w:rPr>
            <w:webHidden/>
          </w:rPr>
          <w:tab/>
        </w:r>
        <w:r w:rsidR="00B34C30">
          <w:rPr>
            <w:webHidden/>
          </w:rPr>
          <w:fldChar w:fldCharType="begin"/>
        </w:r>
        <w:r w:rsidR="00B34C30">
          <w:rPr>
            <w:webHidden/>
          </w:rPr>
          <w:instrText xml:space="preserve"> PAGEREF _Toc473485921 \h </w:instrText>
        </w:r>
        <w:r w:rsidR="00B34C30">
          <w:rPr>
            <w:webHidden/>
          </w:rPr>
        </w:r>
        <w:r w:rsidR="00B34C30">
          <w:rPr>
            <w:webHidden/>
          </w:rPr>
          <w:fldChar w:fldCharType="separate"/>
        </w:r>
        <w:r w:rsidR="00B34C30">
          <w:rPr>
            <w:webHidden/>
          </w:rPr>
          <w:t>5</w:t>
        </w:r>
        <w:r w:rsidR="00B34C30">
          <w:rPr>
            <w:webHidden/>
          </w:rPr>
          <w:fldChar w:fldCharType="end"/>
        </w:r>
      </w:hyperlink>
    </w:p>
    <w:p w:rsidR="00B34C30" w:rsidRDefault="00CC49E3">
      <w:pPr>
        <w:pStyle w:val="TOC1"/>
        <w:rPr>
          <w:rFonts w:asciiTheme="minorHAnsi" w:eastAsiaTheme="minorEastAsia" w:hAnsiTheme="minorHAnsi" w:cstheme="minorBidi"/>
          <w:color w:val="auto"/>
          <w:kern w:val="0"/>
          <w:sz w:val="22"/>
          <w:szCs w:val="22"/>
          <w:lang w:val="en-US" w:eastAsia="en-US"/>
        </w:rPr>
      </w:pPr>
      <w:hyperlink w:anchor="_Toc473485922" w:history="1">
        <w:r w:rsidR="00B34C30" w:rsidRPr="00105D0F">
          <w:rPr>
            <w:rStyle w:val="Hyperlink"/>
          </w:rPr>
          <w:t>NGĀ ARA TIKA: INTEGRATED PRACTICES FOR RHEUMATIC FEVER</w:t>
        </w:r>
        <w:r w:rsidR="00B34C30">
          <w:rPr>
            <w:webHidden/>
          </w:rPr>
          <w:tab/>
        </w:r>
        <w:r w:rsidR="00B34C30">
          <w:rPr>
            <w:webHidden/>
          </w:rPr>
          <w:fldChar w:fldCharType="begin"/>
        </w:r>
        <w:r w:rsidR="00B34C30">
          <w:rPr>
            <w:webHidden/>
          </w:rPr>
          <w:instrText xml:space="preserve"> PAGEREF _Toc473485922 \h </w:instrText>
        </w:r>
        <w:r w:rsidR="00B34C30">
          <w:rPr>
            <w:webHidden/>
          </w:rPr>
        </w:r>
        <w:r w:rsidR="00B34C30">
          <w:rPr>
            <w:webHidden/>
          </w:rPr>
          <w:fldChar w:fldCharType="separate"/>
        </w:r>
        <w:r w:rsidR="00B34C30">
          <w:rPr>
            <w:webHidden/>
          </w:rPr>
          <w:t>6</w:t>
        </w:r>
        <w:r w:rsidR="00B34C30">
          <w:rPr>
            <w:webHidden/>
          </w:rPr>
          <w:fldChar w:fldCharType="end"/>
        </w:r>
      </w:hyperlink>
    </w:p>
    <w:p w:rsidR="00B34C30" w:rsidRDefault="00CC49E3">
      <w:pPr>
        <w:pStyle w:val="TOC2"/>
        <w:rPr>
          <w:rFonts w:asciiTheme="minorHAnsi" w:eastAsiaTheme="minorEastAsia" w:hAnsiTheme="minorHAnsi" w:cstheme="minorBidi"/>
          <w:kern w:val="0"/>
          <w:sz w:val="22"/>
          <w:szCs w:val="22"/>
          <w:lang w:val="en-US" w:eastAsia="en-US"/>
        </w:rPr>
      </w:pPr>
      <w:hyperlink w:anchor="_Toc473485923" w:history="1">
        <w:r w:rsidR="00B34C30" w:rsidRPr="00105D0F">
          <w:rPr>
            <w:rStyle w:val="Hyperlink"/>
          </w:rPr>
          <w:t>RATIONALE</w:t>
        </w:r>
        <w:r w:rsidR="00B34C30">
          <w:rPr>
            <w:webHidden/>
          </w:rPr>
          <w:tab/>
        </w:r>
        <w:r w:rsidR="00B34C30">
          <w:rPr>
            <w:webHidden/>
          </w:rPr>
          <w:fldChar w:fldCharType="begin"/>
        </w:r>
        <w:r w:rsidR="00B34C30">
          <w:rPr>
            <w:webHidden/>
          </w:rPr>
          <w:instrText xml:space="preserve"> PAGEREF _Toc473485923 \h </w:instrText>
        </w:r>
        <w:r w:rsidR="00B34C30">
          <w:rPr>
            <w:webHidden/>
          </w:rPr>
        </w:r>
        <w:r w:rsidR="00B34C30">
          <w:rPr>
            <w:webHidden/>
          </w:rPr>
          <w:fldChar w:fldCharType="separate"/>
        </w:r>
        <w:r w:rsidR="00B34C30">
          <w:rPr>
            <w:webHidden/>
          </w:rPr>
          <w:t>6</w:t>
        </w:r>
        <w:r w:rsidR="00B34C30">
          <w:rPr>
            <w:webHidden/>
          </w:rPr>
          <w:fldChar w:fldCharType="end"/>
        </w:r>
      </w:hyperlink>
    </w:p>
    <w:p w:rsidR="00B34C30" w:rsidRDefault="00CC49E3">
      <w:pPr>
        <w:pStyle w:val="TOC2"/>
        <w:rPr>
          <w:rFonts w:asciiTheme="minorHAnsi" w:eastAsiaTheme="minorEastAsia" w:hAnsiTheme="minorHAnsi" w:cstheme="minorBidi"/>
          <w:kern w:val="0"/>
          <w:sz w:val="22"/>
          <w:szCs w:val="22"/>
          <w:lang w:val="en-US" w:eastAsia="en-US"/>
        </w:rPr>
      </w:pPr>
      <w:hyperlink w:anchor="_Toc473485924" w:history="1">
        <w:r w:rsidR="00B34C30" w:rsidRPr="00105D0F">
          <w:rPr>
            <w:rStyle w:val="Hyperlink"/>
          </w:rPr>
          <w:t>INTEGRATED PRACTICES</w:t>
        </w:r>
        <w:r w:rsidR="00B34C30">
          <w:rPr>
            <w:webHidden/>
          </w:rPr>
          <w:tab/>
        </w:r>
        <w:r w:rsidR="00B34C30">
          <w:rPr>
            <w:webHidden/>
          </w:rPr>
          <w:fldChar w:fldCharType="begin"/>
        </w:r>
        <w:r w:rsidR="00B34C30">
          <w:rPr>
            <w:webHidden/>
          </w:rPr>
          <w:instrText xml:space="preserve"> PAGEREF _Toc473485924 \h </w:instrText>
        </w:r>
        <w:r w:rsidR="00B34C30">
          <w:rPr>
            <w:webHidden/>
          </w:rPr>
        </w:r>
        <w:r w:rsidR="00B34C30">
          <w:rPr>
            <w:webHidden/>
          </w:rPr>
          <w:fldChar w:fldCharType="separate"/>
        </w:r>
        <w:r w:rsidR="00B34C30">
          <w:rPr>
            <w:webHidden/>
          </w:rPr>
          <w:t>7</w:t>
        </w:r>
        <w:r w:rsidR="00B34C30">
          <w:rPr>
            <w:webHidden/>
          </w:rPr>
          <w:fldChar w:fldCharType="end"/>
        </w:r>
      </w:hyperlink>
    </w:p>
    <w:p w:rsidR="00B34C30" w:rsidRDefault="00CC49E3">
      <w:pPr>
        <w:pStyle w:val="TOC2"/>
        <w:rPr>
          <w:rFonts w:asciiTheme="minorHAnsi" w:eastAsiaTheme="minorEastAsia" w:hAnsiTheme="minorHAnsi" w:cstheme="minorBidi"/>
          <w:kern w:val="0"/>
          <w:sz w:val="22"/>
          <w:szCs w:val="22"/>
          <w:lang w:val="en-US" w:eastAsia="en-US"/>
        </w:rPr>
      </w:pPr>
      <w:hyperlink w:anchor="_Toc473485925" w:history="1">
        <w:r w:rsidR="00B34C30" w:rsidRPr="00105D0F">
          <w:rPr>
            <w:rStyle w:val="Hyperlink"/>
          </w:rPr>
          <w:t>OTHER KEY GUIDELINES AND DOCUMENTS</w:t>
        </w:r>
        <w:r w:rsidR="00B34C30">
          <w:rPr>
            <w:webHidden/>
          </w:rPr>
          <w:tab/>
        </w:r>
        <w:r w:rsidR="00B34C30">
          <w:rPr>
            <w:webHidden/>
          </w:rPr>
          <w:fldChar w:fldCharType="begin"/>
        </w:r>
        <w:r w:rsidR="00B34C30">
          <w:rPr>
            <w:webHidden/>
          </w:rPr>
          <w:instrText xml:space="preserve"> PAGEREF _Toc473485925 \h </w:instrText>
        </w:r>
        <w:r w:rsidR="00B34C30">
          <w:rPr>
            <w:webHidden/>
          </w:rPr>
        </w:r>
        <w:r w:rsidR="00B34C30">
          <w:rPr>
            <w:webHidden/>
          </w:rPr>
          <w:fldChar w:fldCharType="separate"/>
        </w:r>
        <w:r w:rsidR="00B34C30">
          <w:rPr>
            <w:webHidden/>
          </w:rPr>
          <w:t>8</w:t>
        </w:r>
        <w:r w:rsidR="00B34C30">
          <w:rPr>
            <w:webHidden/>
          </w:rPr>
          <w:fldChar w:fldCharType="end"/>
        </w:r>
      </w:hyperlink>
    </w:p>
    <w:p w:rsidR="00B34C30" w:rsidRDefault="00CC49E3">
      <w:pPr>
        <w:pStyle w:val="TOC1"/>
        <w:rPr>
          <w:rFonts w:asciiTheme="minorHAnsi" w:eastAsiaTheme="minorEastAsia" w:hAnsiTheme="minorHAnsi" w:cstheme="minorBidi"/>
          <w:color w:val="auto"/>
          <w:kern w:val="0"/>
          <w:sz w:val="22"/>
          <w:szCs w:val="22"/>
          <w:lang w:val="en-US" w:eastAsia="en-US"/>
        </w:rPr>
      </w:pPr>
      <w:hyperlink w:anchor="_Toc473485926" w:history="1">
        <w:r w:rsidR="00B34C30" w:rsidRPr="00105D0F">
          <w:rPr>
            <w:rStyle w:val="Hyperlink"/>
          </w:rPr>
          <w:t>NGĀ ARA TIKA: HAUORA TAMARIKI</w:t>
        </w:r>
        <w:r w:rsidR="00B34C30">
          <w:rPr>
            <w:webHidden/>
          </w:rPr>
          <w:tab/>
        </w:r>
        <w:r w:rsidR="00B34C30">
          <w:rPr>
            <w:webHidden/>
          </w:rPr>
          <w:fldChar w:fldCharType="begin"/>
        </w:r>
        <w:r w:rsidR="00B34C30">
          <w:rPr>
            <w:webHidden/>
          </w:rPr>
          <w:instrText xml:space="preserve"> PAGEREF _Toc473485926 \h </w:instrText>
        </w:r>
        <w:r w:rsidR="00B34C30">
          <w:rPr>
            <w:webHidden/>
          </w:rPr>
        </w:r>
        <w:r w:rsidR="00B34C30">
          <w:rPr>
            <w:webHidden/>
          </w:rPr>
          <w:fldChar w:fldCharType="separate"/>
        </w:r>
        <w:r w:rsidR="00B34C30">
          <w:rPr>
            <w:webHidden/>
          </w:rPr>
          <w:t>9</w:t>
        </w:r>
        <w:r w:rsidR="00B34C30">
          <w:rPr>
            <w:webHidden/>
          </w:rPr>
          <w:fldChar w:fldCharType="end"/>
        </w:r>
      </w:hyperlink>
    </w:p>
    <w:p w:rsidR="00B34C30" w:rsidRDefault="00CC49E3">
      <w:pPr>
        <w:pStyle w:val="TOC2"/>
        <w:rPr>
          <w:rFonts w:asciiTheme="minorHAnsi" w:eastAsiaTheme="minorEastAsia" w:hAnsiTheme="minorHAnsi" w:cstheme="minorBidi"/>
          <w:kern w:val="0"/>
          <w:sz w:val="22"/>
          <w:szCs w:val="22"/>
          <w:lang w:val="en-US" w:eastAsia="en-US"/>
        </w:rPr>
      </w:pPr>
      <w:hyperlink w:anchor="_Toc473485927" w:history="1">
        <w:r w:rsidR="00B34C30" w:rsidRPr="00105D0F">
          <w:rPr>
            <w:rStyle w:val="Hyperlink"/>
          </w:rPr>
          <w:t>RATIONALE</w:t>
        </w:r>
        <w:r w:rsidR="00B34C30">
          <w:rPr>
            <w:webHidden/>
          </w:rPr>
          <w:tab/>
        </w:r>
        <w:r w:rsidR="00B34C30">
          <w:rPr>
            <w:webHidden/>
          </w:rPr>
          <w:fldChar w:fldCharType="begin"/>
        </w:r>
        <w:r w:rsidR="00B34C30">
          <w:rPr>
            <w:webHidden/>
          </w:rPr>
          <w:instrText xml:space="preserve"> PAGEREF _Toc473485927 \h </w:instrText>
        </w:r>
        <w:r w:rsidR="00B34C30">
          <w:rPr>
            <w:webHidden/>
          </w:rPr>
        </w:r>
        <w:r w:rsidR="00B34C30">
          <w:rPr>
            <w:webHidden/>
          </w:rPr>
          <w:fldChar w:fldCharType="separate"/>
        </w:r>
        <w:r w:rsidR="00B34C30">
          <w:rPr>
            <w:webHidden/>
          </w:rPr>
          <w:t>9</w:t>
        </w:r>
        <w:r w:rsidR="00B34C30">
          <w:rPr>
            <w:webHidden/>
          </w:rPr>
          <w:fldChar w:fldCharType="end"/>
        </w:r>
      </w:hyperlink>
    </w:p>
    <w:p w:rsidR="00B34C30" w:rsidRDefault="00CC49E3">
      <w:pPr>
        <w:pStyle w:val="TOC2"/>
        <w:rPr>
          <w:rFonts w:asciiTheme="minorHAnsi" w:eastAsiaTheme="minorEastAsia" w:hAnsiTheme="minorHAnsi" w:cstheme="minorBidi"/>
          <w:kern w:val="0"/>
          <w:sz w:val="22"/>
          <w:szCs w:val="22"/>
          <w:lang w:val="en-US" w:eastAsia="en-US"/>
        </w:rPr>
      </w:pPr>
      <w:hyperlink w:anchor="_Toc473485928" w:history="1">
        <w:r w:rsidR="00B34C30" w:rsidRPr="00105D0F">
          <w:rPr>
            <w:rStyle w:val="Hyperlink"/>
          </w:rPr>
          <w:t>INTEGRATED PRACTICES</w:t>
        </w:r>
        <w:r w:rsidR="00B34C30">
          <w:rPr>
            <w:webHidden/>
          </w:rPr>
          <w:tab/>
        </w:r>
        <w:r w:rsidR="00B34C30">
          <w:rPr>
            <w:webHidden/>
          </w:rPr>
          <w:fldChar w:fldCharType="begin"/>
        </w:r>
        <w:r w:rsidR="00B34C30">
          <w:rPr>
            <w:webHidden/>
          </w:rPr>
          <w:instrText xml:space="preserve"> PAGEREF _Toc473485928 \h </w:instrText>
        </w:r>
        <w:r w:rsidR="00B34C30">
          <w:rPr>
            <w:webHidden/>
          </w:rPr>
        </w:r>
        <w:r w:rsidR="00B34C30">
          <w:rPr>
            <w:webHidden/>
          </w:rPr>
          <w:fldChar w:fldCharType="separate"/>
        </w:r>
        <w:r w:rsidR="00B34C30">
          <w:rPr>
            <w:webHidden/>
          </w:rPr>
          <w:t>9</w:t>
        </w:r>
        <w:r w:rsidR="00B34C30">
          <w:rPr>
            <w:webHidden/>
          </w:rPr>
          <w:fldChar w:fldCharType="end"/>
        </w:r>
      </w:hyperlink>
    </w:p>
    <w:p w:rsidR="00B34C30" w:rsidRDefault="00CC49E3">
      <w:pPr>
        <w:pStyle w:val="TOC2"/>
        <w:rPr>
          <w:rFonts w:asciiTheme="minorHAnsi" w:eastAsiaTheme="minorEastAsia" w:hAnsiTheme="minorHAnsi" w:cstheme="minorBidi"/>
          <w:kern w:val="0"/>
          <w:sz w:val="22"/>
          <w:szCs w:val="22"/>
          <w:lang w:val="en-US" w:eastAsia="en-US"/>
        </w:rPr>
      </w:pPr>
      <w:hyperlink w:anchor="_Toc473485929" w:history="1">
        <w:r w:rsidR="00B34C30" w:rsidRPr="00105D0F">
          <w:rPr>
            <w:rStyle w:val="Hyperlink"/>
          </w:rPr>
          <w:t>OTHER KEY GUIDELINES AND DOCUMENTS</w:t>
        </w:r>
        <w:r w:rsidR="00B34C30">
          <w:rPr>
            <w:webHidden/>
          </w:rPr>
          <w:tab/>
        </w:r>
        <w:r w:rsidR="00B34C30">
          <w:rPr>
            <w:webHidden/>
          </w:rPr>
          <w:fldChar w:fldCharType="begin"/>
        </w:r>
        <w:r w:rsidR="00B34C30">
          <w:rPr>
            <w:webHidden/>
          </w:rPr>
          <w:instrText xml:space="preserve"> PAGEREF _Toc473485929 \h </w:instrText>
        </w:r>
        <w:r w:rsidR="00B34C30">
          <w:rPr>
            <w:webHidden/>
          </w:rPr>
        </w:r>
        <w:r w:rsidR="00B34C30">
          <w:rPr>
            <w:webHidden/>
          </w:rPr>
          <w:fldChar w:fldCharType="separate"/>
        </w:r>
        <w:r w:rsidR="00B34C30">
          <w:rPr>
            <w:webHidden/>
          </w:rPr>
          <w:t>11</w:t>
        </w:r>
        <w:r w:rsidR="00B34C30">
          <w:rPr>
            <w:webHidden/>
          </w:rPr>
          <w:fldChar w:fldCharType="end"/>
        </w:r>
      </w:hyperlink>
    </w:p>
    <w:p w:rsidR="00B34C30" w:rsidRDefault="00CC49E3">
      <w:pPr>
        <w:pStyle w:val="TOC1"/>
        <w:rPr>
          <w:rFonts w:asciiTheme="minorHAnsi" w:eastAsiaTheme="minorEastAsia" w:hAnsiTheme="minorHAnsi" w:cstheme="minorBidi"/>
          <w:color w:val="auto"/>
          <w:kern w:val="0"/>
          <w:sz w:val="22"/>
          <w:szCs w:val="22"/>
          <w:lang w:val="en-US" w:eastAsia="en-US"/>
        </w:rPr>
      </w:pPr>
      <w:hyperlink w:anchor="_Toc473485930" w:history="1">
        <w:r w:rsidR="00B34C30" w:rsidRPr="00105D0F">
          <w:rPr>
            <w:rStyle w:val="Hyperlink"/>
          </w:rPr>
          <w:t>NGĀ ARA TIKA: INTEGRATED PRACTICES FOR ORAL HEALTH AND DIABETES</w:t>
        </w:r>
        <w:r w:rsidR="00B34C30">
          <w:rPr>
            <w:webHidden/>
          </w:rPr>
          <w:tab/>
        </w:r>
        <w:r w:rsidR="00B34C30">
          <w:rPr>
            <w:webHidden/>
          </w:rPr>
          <w:fldChar w:fldCharType="begin"/>
        </w:r>
        <w:r w:rsidR="00B34C30">
          <w:rPr>
            <w:webHidden/>
          </w:rPr>
          <w:instrText xml:space="preserve"> PAGEREF _Toc473485930 \h </w:instrText>
        </w:r>
        <w:r w:rsidR="00B34C30">
          <w:rPr>
            <w:webHidden/>
          </w:rPr>
        </w:r>
        <w:r w:rsidR="00B34C30">
          <w:rPr>
            <w:webHidden/>
          </w:rPr>
          <w:fldChar w:fldCharType="separate"/>
        </w:r>
        <w:r w:rsidR="00B34C30">
          <w:rPr>
            <w:webHidden/>
          </w:rPr>
          <w:t>13</w:t>
        </w:r>
        <w:r w:rsidR="00B34C30">
          <w:rPr>
            <w:webHidden/>
          </w:rPr>
          <w:fldChar w:fldCharType="end"/>
        </w:r>
      </w:hyperlink>
    </w:p>
    <w:p w:rsidR="00B34C30" w:rsidRDefault="00CC49E3">
      <w:pPr>
        <w:pStyle w:val="TOC2"/>
        <w:rPr>
          <w:rFonts w:asciiTheme="minorHAnsi" w:eastAsiaTheme="minorEastAsia" w:hAnsiTheme="minorHAnsi" w:cstheme="minorBidi"/>
          <w:kern w:val="0"/>
          <w:sz w:val="22"/>
          <w:szCs w:val="22"/>
          <w:lang w:val="en-US" w:eastAsia="en-US"/>
        </w:rPr>
      </w:pPr>
      <w:hyperlink w:anchor="_Toc473485931" w:history="1">
        <w:r w:rsidR="00B34C30" w:rsidRPr="00105D0F">
          <w:rPr>
            <w:rStyle w:val="Hyperlink"/>
          </w:rPr>
          <w:t>RATIONALE</w:t>
        </w:r>
        <w:r w:rsidR="00B34C30">
          <w:rPr>
            <w:webHidden/>
          </w:rPr>
          <w:tab/>
        </w:r>
        <w:r w:rsidR="00B34C30">
          <w:rPr>
            <w:webHidden/>
          </w:rPr>
          <w:fldChar w:fldCharType="begin"/>
        </w:r>
        <w:r w:rsidR="00B34C30">
          <w:rPr>
            <w:webHidden/>
          </w:rPr>
          <w:instrText xml:space="preserve"> PAGEREF _Toc473485931 \h </w:instrText>
        </w:r>
        <w:r w:rsidR="00B34C30">
          <w:rPr>
            <w:webHidden/>
          </w:rPr>
        </w:r>
        <w:r w:rsidR="00B34C30">
          <w:rPr>
            <w:webHidden/>
          </w:rPr>
          <w:fldChar w:fldCharType="separate"/>
        </w:r>
        <w:r w:rsidR="00B34C30">
          <w:rPr>
            <w:webHidden/>
          </w:rPr>
          <w:t>13</w:t>
        </w:r>
        <w:r w:rsidR="00B34C30">
          <w:rPr>
            <w:webHidden/>
          </w:rPr>
          <w:fldChar w:fldCharType="end"/>
        </w:r>
      </w:hyperlink>
    </w:p>
    <w:p w:rsidR="00B34C30" w:rsidRDefault="00CC49E3">
      <w:pPr>
        <w:pStyle w:val="TOC2"/>
        <w:rPr>
          <w:rFonts w:asciiTheme="minorHAnsi" w:eastAsiaTheme="minorEastAsia" w:hAnsiTheme="minorHAnsi" w:cstheme="minorBidi"/>
          <w:kern w:val="0"/>
          <w:sz w:val="22"/>
          <w:szCs w:val="22"/>
          <w:lang w:val="en-US" w:eastAsia="en-US"/>
        </w:rPr>
      </w:pPr>
      <w:hyperlink w:anchor="_Toc473485932" w:history="1">
        <w:r w:rsidR="00B34C30" w:rsidRPr="00105D0F">
          <w:rPr>
            <w:rStyle w:val="Hyperlink"/>
          </w:rPr>
          <w:t>INTEGRATED PRACTICES</w:t>
        </w:r>
        <w:r w:rsidR="00B34C30">
          <w:rPr>
            <w:webHidden/>
          </w:rPr>
          <w:tab/>
        </w:r>
        <w:r w:rsidR="00B34C30">
          <w:rPr>
            <w:webHidden/>
          </w:rPr>
          <w:fldChar w:fldCharType="begin"/>
        </w:r>
        <w:r w:rsidR="00B34C30">
          <w:rPr>
            <w:webHidden/>
          </w:rPr>
          <w:instrText xml:space="preserve"> PAGEREF _Toc473485932 \h </w:instrText>
        </w:r>
        <w:r w:rsidR="00B34C30">
          <w:rPr>
            <w:webHidden/>
          </w:rPr>
        </w:r>
        <w:r w:rsidR="00B34C30">
          <w:rPr>
            <w:webHidden/>
          </w:rPr>
          <w:fldChar w:fldCharType="separate"/>
        </w:r>
        <w:r w:rsidR="00B34C30">
          <w:rPr>
            <w:webHidden/>
          </w:rPr>
          <w:t>13</w:t>
        </w:r>
        <w:r w:rsidR="00B34C30">
          <w:rPr>
            <w:webHidden/>
          </w:rPr>
          <w:fldChar w:fldCharType="end"/>
        </w:r>
      </w:hyperlink>
    </w:p>
    <w:p w:rsidR="00B34C30" w:rsidRDefault="00CC49E3">
      <w:pPr>
        <w:pStyle w:val="TOC2"/>
        <w:rPr>
          <w:rFonts w:asciiTheme="minorHAnsi" w:eastAsiaTheme="minorEastAsia" w:hAnsiTheme="minorHAnsi" w:cstheme="minorBidi"/>
          <w:kern w:val="0"/>
          <w:sz w:val="22"/>
          <w:szCs w:val="22"/>
          <w:lang w:val="en-US" w:eastAsia="en-US"/>
        </w:rPr>
      </w:pPr>
      <w:hyperlink w:anchor="_Toc473485933" w:history="1">
        <w:r w:rsidR="00B34C30" w:rsidRPr="00105D0F">
          <w:rPr>
            <w:rStyle w:val="Hyperlink"/>
          </w:rPr>
          <w:t>OTHER KEY GUIDELINES AND DOCUMENTS</w:t>
        </w:r>
        <w:r w:rsidR="00B34C30">
          <w:rPr>
            <w:webHidden/>
          </w:rPr>
          <w:tab/>
        </w:r>
        <w:r w:rsidR="00B34C30">
          <w:rPr>
            <w:webHidden/>
          </w:rPr>
          <w:fldChar w:fldCharType="begin"/>
        </w:r>
        <w:r w:rsidR="00B34C30">
          <w:rPr>
            <w:webHidden/>
          </w:rPr>
          <w:instrText xml:space="preserve"> PAGEREF _Toc473485933 \h </w:instrText>
        </w:r>
        <w:r w:rsidR="00B34C30">
          <w:rPr>
            <w:webHidden/>
          </w:rPr>
        </w:r>
        <w:r w:rsidR="00B34C30">
          <w:rPr>
            <w:webHidden/>
          </w:rPr>
          <w:fldChar w:fldCharType="separate"/>
        </w:r>
        <w:r w:rsidR="00B34C30">
          <w:rPr>
            <w:webHidden/>
          </w:rPr>
          <w:t>16</w:t>
        </w:r>
        <w:r w:rsidR="00B34C30">
          <w:rPr>
            <w:webHidden/>
          </w:rPr>
          <w:fldChar w:fldCharType="end"/>
        </w:r>
      </w:hyperlink>
    </w:p>
    <w:p w:rsidR="00B34C30" w:rsidRDefault="00CC49E3">
      <w:pPr>
        <w:pStyle w:val="TOC1"/>
        <w:rPr>
          <w:rFonts w:asciiTheme="minorHAnsi" w:eastAsiaTheme="minorEastAsia" w:hAnsiTheme="minorHAnsi" w:cstheme="minorBidi"/>
          <w:color w:val="auto"/>
          <w:kern w:val="0"/>
          <w:sz w:val="22"/>
          <w:szCs w:val="22"/>
          <w:lang w:val="en-US" w:eastAsia="en-US"/>
        </w:rPr>
      </w:pPr>
      <w:hyperlink w:anchor="_Toc473485934" w:history="1">
        <w:r w:rsidR="00B34C30" w:rsidRPr="00105D0F">
          <w:rPr>
            <w:rStyle w:val="Hyperlink"/>
          </w:rPr>
          <w:t>REFERENCES</w:t>
        </w:r>
        <w:r w:rsidR="00B34C30">
          <w:rPr>
            <w:webHidden/>
          </w:rPr>
          <w:tab/>
        </w:r>
        <w:r w:rsidR="00B34C30">
          <w:rPr>
            <w:webHidden/>
          </w:rPr>
          <w:fldChar w:fldCharType="begin"/>
        </w:r>
        <w:r w:rsidR="00B34C30">
          <w:rPr>
            <w:webHidden/>
          </w:rPr>
          <w:instrText xml:space="preserve"> PAGEREF _Toc473485934 \h </w:instrText>
        </w:r>
        <w:r w:rsidR="00B34C30">
          <w:rPr>
            <w:webHidden/>
          </w:rPr>
        </w:r>
        <w:r w:rsidR="00B34C30">
          <w:rPr>
            <w:webHidden/>
          </w:rPr>
          <w:fldChar w:fldCharType="separate"/>
        </w:r>
        <w:r w:rsidR="00B34C30">
          <w:rPr>
            <w:webHidden/>
          </w:rPr>
          <w:t>18</w:t>
        </w:r>
        <w:r w:rsidR="00B34C30">
          <w:rPr>
            <w:webHidden/>
          </w:rPr>
          <w:fldChar w:fldCharType="end"/>
        </w:r>
      </w:hyperlink>
    </w:p>
    <w:p w:rsidR="00B34C30" w:rsidRDefault="00CC49E3">
      <w:pPr>
        <w:pStyle w:val="TOC2"/>
        <w:rPr>
          <w:rFonts w:asciiTheme="minorHAnsi" w:eastAsiaTheme="minorEastAsia" w:hAnsiTheme="minorHAnsi" w:cstheme="minorBidi"/>
          <w:kern w:val="0"/>
          <w:sz w:val="22"/>
          <w:szCs w:val="22"/>
          <w:lang w:val="en-US" w:eastAsia="en-US"/>
        </w:rPr>
      </w:pPr>
      <w:hyperlink w:anchor="_Toc473485935" w:history="1">
        <w:r w:rsidR="00B34C30" w:rsidRPr="00105D0F">
          <w:rPr>
            <w:rStyle w:val="Hyperlink"/>
            <w:rFonts w:eastAsia="Arial Unicode MS"/>
          </w:rPr>
          <w:t>Ministry of Health. (2006). Tobacco Trends 2006: Monitoring tobacco use in New Zealand. Wellington: Ministry of Health.</w:t>
        </w:r>
        <w:r w:rsidR="00B34C30">
          <w:rPr>
            <w:webHidden/>
          </w:rPr>
          <w:tab/>
        </w:r>
        <w:r w:rsidR="00B34C30">
          <w:rPr>
            <w:webHidden/>
          </w:rPr>
          <w:fldChar w:fldCharType="begin"/>
        </w:r>
        <w:r w:rsidR="00B34C30">
          <w:rPr>
            <w:webHidden/>
          </w:rPr>
          <w:instrText xml:space="preserve"> PAGEREF _Toc473485935 \h </w:instrText>
        </w:r>
        <w:r w:rsidR="00B34C30">
          <w:rPr>
            <w:webHidden/>
          </w:rPr>
        </w:r>
        <w:r w:rsidR="00B34C30">
          <w:rPr>
            <w:webHidden/>
          </w:rPr>
          <w:fldChar w:fldCharType="separate"/>
        </w:r>
        <w:r w:rsidR="00B34C30">
          <w:rPr>
            <w:webHidden/>
          </w:rPr>
          <w:t>19</w:t>
        </w:r>
        <w:r w:rsidR="00B34C30">
          <w:rPr>
            <w:webHidden/>
          </w:rPr>
          <w:fldChar w:fldCharType="end"/>
        </w:r>
      </w:hyperlink>
    </w:p>
    <w:p w:rsidR="00B34C30" w:rsidRDefault="00CC49E3">
      <w:pPr>
        <w:pStyle w:val="TOC1"/>
        <w:rPr>
          <w:rFonts w:asciiTheme="minorHAnsi" w:eastAsiaTheme="minorEastAsia" w:hAnsiTheme="minorHAnsi" w:cstheme="minorBidi"/>
          <w:color w:val="auto"/>
          <w:kern w:val="0"/>
          <w:sz w:val="22"/>
          <w:szCs w:val="22"/>
          <w:lang w:val="en-US" w:eastAsia="en-US"/>
        </w:rPr>
      </w:pPr>
      <w:hyperlink w:anchor="_Toc473485936" w:history="1">
        <w:r w:rsidR="00B34C30" w:rsidRPr="00105D0F">
          <w:rPr>
            <w:rStyle w:val="Hyperlink"/>
          </w:rPr>
          <w:t>APPENDIX 1:  QUALITY IMPROVEMENT GROUP FOR  MĀORI ORAL HEALTH PROVIDERS</w:t>
        </w:r>
        <w:r w:rsidR="00B34C30">
          <w:rPr>
            <w:webHidden/>
          </w:rPr>
          <w:tab/>
        </w:r>
        <w:r w:rsidR="00B34C30">
          <w:rPr>
            <w:webHidden/>
          </w:rPr>
          <w:fldChar w:fldCharType="begin"/>
        </w:r>
        <w:r w:rsidR="00B34C30">
          <w:rPr>
            <w:webHidden/>
          </w:rPr>
          <w:instrText xml:space="preserve"> PAGEREF _Toc473485936 \h </w:instrText>
        </w:r>
        <w:r w:rsidR="00B34C30">
          <w:rPr>
            <w:webHidden/>
          </w:rPr>
        </w:r>
        <w:r w:rsidR="00B34C30">
          <w:rPr>
            <w:webHidden/>
          </w:rPr>
          <w:fldChar w:fldCharType="separate"/>
        </w:r>
        <w:r w:rsidR="00B34C30">
          <w:rPr>
            <w:webHidden/>
          </w:rPr>
          <w:t>21</w:t>
        </w:r>
        <w:r w:rsidR="00B34C30">
          <w:rPr>
            <w:webHidden/>
          </w:rPr>
          <w:fldChar w:fldCharType="end"/>
        </w:r>
      </w:hyperlink>
    </w:p>
    <w:p w:rsidR="00B34C30" w:rsidRDefault="00CC49E3">
      <w:pPr>
        <w:pStyle w:val="TOC2"/>
        <w:rPr>
          <w:rFonts w:asciiTheme="minorHAnsi" w:eastAsiaTheme="minorEastAsia" w:hAnsiTheme="minorHAnsi" w:cstheme="minorBidi"/>
          <w:kern w:val="0"/>
          <w:sz w:val="22"/>
          <w:szCs w:val="22"/>
          <w:lang w:val="en-US" w:eastAsia="en-US"/>
        </w:rPr>
      </w:pPr>
      <w:hyperlink w:anchor="_Toc473485937" w:history="1">
        <w:r w:rsidR="00B34C30" w:rsidRPr="00105D0F">
          <w:rPr>
            <w:rStyle w:val="Hyperlink"/>
          </w:rPr>
          <w:t>QIG MEMBERSHIP</w:t>
        </w:r>
        <w:r w:rsidR="00B34C30">
          <w:rPr>
            <w:webHidden/>
          </w:rPr>
          <w:tab/>
        </w:r>
        <w:r w:rsidR="00B34C30">
          <w:rPr>
            <w:webHidden/>
          </w:rPr>
          <w:fldChar w:fldCharType="begin"/>
        </w:r>
        <w:r w:rsidR="00B34C30">
          <w:rPr>
            <w:webHidden/>
          </w:rPr>
          <w:instrText xml:space="preserve"> PAGEREF _Toc473485937 \h </w:instrText>
        </w:r>
        <w:r w:rsidR="00B34C30">
          <w:rPr>
            <w:webHidden/>
          </w:rPr>
        </w:r>
        <w:r w:rsidR="00B34C30">
          <w:rPr>
            <w:webHidden/>
          </w:rPr>
          <w:fldChar w:fldCharType="separate"/>
        </w:r>
        <w:r w:rsidR="00B34C30">
          <w:rPr>
            <w:webHidden/>
          </w:rPr>
          <w:t>21</w:t>
        </w:r>
        <w:r w:rsidR="00B34C30">
          <w:rPr>
            <w:webHidden/>
          </w:rPr>
          <w:fldChar w:fldCharType="end"/>
        </w:r>
      </w:hyperlink>
    </w:p>
    <w:p w:rsidR="00B34C30" w:rsidRDefault="00CC49E3">
      <w:pPr>
        <w:pStyle w:val="TOC1"/>
        <w:rPr>
          <w:rFonts w:asciiTheme="minorHAnsi" w:eastAsiaTheme="minorEastAsia" w:hAnsiTheme="minorHAnsi" w:cstheme="minorBidi"/>
          <w:color w:val="auto"/>
          <w:kern w:val="0"/>
          <w:sz w:val="22"/>
          <w:szCs w:val="22"/>
          <w:lang w:val="en-US" w:eastAsia="en-US"/>
        </w:rPr>
      </w:pPr>
      <w:hyperlink w:anchor="_Toc473485938" w:history="1">
        <w:r w:rsidR="00B34C30" w:rsidRPr="00105D0F">
          <w:rPr>
            <w:rStyle w:val="Hyperlink"/>
          </w:rPr>
          <w:t>APPENDIX 2: WORKSHOPS</w:t>
        </w:r>
        <w:r w:rsidR="00B34C30">
          <w:rPr>
            <w:webHidden/>
          </w:rPr>
          <w:tab/>
        </w:r>
        <w:r w:rsidR="00B34C30">
          <w:rPr>
            <w:webHidden/>
          </w:rPr>
          <w:fldChar w:fldCharType="begin"/>
        </w:r>
        <w:r w:rsidR="00B34C30">
          <w:rPr>
            <w:webHidden/>
          </w:rPr>
          <w:instrText xml:space="preserve"> PAGEREF _Toc473485938 \h </w:instrText>
        </w:r>
        <w:r w:rsidR="00B34C30">
          <w:rPr>
            <w:webHidden/>
          </w:rPr>
        </w:r>
        <w:r w:rsidR="00B34C30">
          <w:rPr>
            <w:webHidden/>
          </w:rPr>
          <w:fldChar w:fldCharType="separate"/>
        </w:r>
        <w:r w:rsidR="00B34C30">
          <w:rPr>
            <w:webHidden/>
          </w:rPr>
          <w:t>22</w:t>
        </w:r>
        <w:r w:rsidR="00B34C30">
          <w:rPr>
            <w:webHidden/>
          </w:rPr>
          <w:fldChar w:fldCharType="end"/>
        </w:r>
      </w:hyperlink>
    </w:p>
    <w:p w:rsidR="00767AD7" w:rsidRDefault="007E1EF7">
      <w:pPr>
        <w:jc w:val="both"/>
        <w:rPr>
          <w:rFonts w:ascii="Times New Roman" w:eastAsia="Arial Unicode MS" w:hAnsi="Times New Roman"/>
          <w:color w:val="000000" w:themeColor="text1"/>
        </w:rPr>
      </w:pPr>
      <w:r w:rsidRPr="00E356B0">
        <w:rPr>
          <w:rFonts w:asciiTheme="minorHAnsi" w:eastAsia="Arial Unicode MS" w:hAnsiTheme="minorHAnsi" w:cstheme="minorHAnsi"/>
        </w:rPr>
        <w:fldChar w:fldCharType="end"/>
      </w:r>
    </w:p>
    <w:p w:rsidR="0017504A" w:rsidRDefault="002D45D4" w:rsidP="0036356E">
      <w:pPr>
        <w:pStyle w:val="Heading1"/>
      </w:pPr>
      <w:r w:rsidRPr="005F0AA6">
        <w:br w:type="page"/>
      </w:r>
      <w:bookmarkStart w:id="11" w:name="_Toc473485913"/>
      <w:r w:rsidRPr="005F0AA6">
        <w:lastRenderedPageBreak/>
        <w:t>GLOSSARY</w:t>
      </w:r>
      <w:bookmarkEnd w:id="11"/>
    </w:p>
    <w:p w:rsidR="00825534" w:rsidRPr="006E4E37" w:rsidRDefault="002D45D4" w:rsidP="00C37D18">
      <w:pPr>
        <w:pStyle w:val="generalparagraph"/>
      </w:pPr>
      <w:r w:rsidRPr="006E4E37">
        <w:t>This section provides definitions for the Māori terms</w:t>
      </w:r>
      <w:r w:rsidR="00E04764">
        <w:t>, general terms,</w:t>
      </w:r>
      <w:r w:rsidRPr="006E4E37">
        <w:t xml:space="preserve"> and acronyms used in this report.  The definitio</w:t>
      </w:r>
      <w:r w:rsidR="00E04764">
        <w:t xml:space="preserve">ns </w:t>
      </w:r>
      <w:r w:rsidRPr="006E4E37">
        <w:t>are limited to the context in which they are used in this report.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2"/>
        <w:gridCol w:w="2977"/>
        <w:gridCol w:w="992"/>
        <w:gridCol w:w="3686"/>
      </w:tblGrid>
      <w:tr w:rsidR="00CA7F94" w:rsidRPr="004C0A1B" w:rsidTr="00B91DEA">
        <w:tc>
          <w:tcPr>
            <w:tcW w:w="4219" w:type="dxa"/>
            <w:gridSpan w:val="2"/>
          </w:tcPr>
          <w:p w:rsidR="0017504A" w:rsidRPr="004C0A1B" w:rsidRDefault="00DA49AF" w:rsidP="006E4E37">
            <w:pPr>
              <w:spacing w:before="120" w:after="120"/>
              <w:rPr>
                <w:rFonts w:asciiTheme="minorHAnsi" w:eastAsia="Arial Unicode MS" w:hAnsiTheme="minorHAnsi" w:cstheme="minorHAnsi"/>
                <w:b/>
                <w:sz w:val="22"/>
                <w:szCs w:val="22"/>
              </w:rPr>
            </w:pPr>
            <w:r w:rsidRPr="004C0A1B">
              <w:rPr>
                <w:rFonts w:asciiTheme="minorHAnsi" w:eastAsia="Arial Unicode MS" w:hAnsiTheme="minorHAnsi" w:cstheme="minorHAnsi"/>
                <w:b/>
                <w:sz w:val="22"/>
                <w:szCs w:val="22"/>
              </w:rPr>
              <w:t>MĀORI TERMS</w:t>
            </w:r>
          </w:p>
        </w:tc>
        <w:tc>
          <w:tcPr>
            <w:tcW w:w="4678" w:type="dxa"/>
            <w:gridSpan w:val="2"/>
          </w:tcPr>
          <w:p w:rsidR="0017504A" w:rsidRPr="00B3404D" w:rsidRDefault="00DA49AF" w:rsidP="006E4E37">
            <w:pPr>
              <w:spacing w:before="120" w:after="120"/>
              <w:rPr>
                <w:rFonts w:asciiTheme="minorHAnsi" w:eastAsia="Arial Unicode MS" w:hAnsiTheme="minorHAnsi" w:cstheme="minorHAnsi"/>
                <w:b/>
                <w:sz w:val="22"/>
                <w:szCs w:val="22"/>
              </w:rPr>
            </w:pPr>
            <w:r w:rsidRPr="00B3404D">
              <w:rPr>
                <w:rFonts w:asciiTheme="minorHAnsi" w:eastAsia="Arial Unicode MS" w:hAnsiTheme="minorHAnsi" w:cstheme="minorHAnsi"/>
                <w:b/>
                <w:sz w:val="22"/>
                <w:szCs w:val="22"/>
              </w:rPr>
              <w:t>ACRONYMS</w:t>
            </w:r>
          </w:p>
        </w:tc>
      </w:tr>
      <w:tr w:rsidR="009005AA" w:rsidRPr="006E4E37" w:rsidTr="00B91DEA">
        <w:tc>
          <w:tcPr>
            <w:tcW w:w="1242" w:type="dxa"/>
          </w:tcPr>
          <w:p w:rsidR="009005AA" w:rsidRPr="006E4E37" w:rsidRDefault="009005AA" w:rsidP="00BC0B44">
            <w:pPr>
              <w:spacing w:before="120" w:after="120"/>
              <w:rPr>
                <w:rFonts w:asciiTheme="minorHAnsi" w:eastAsia="Arial Unicode MS" w:hAnsiTheme="minorHAnsi" w:cstheme="minorHAnsi"/>
                <w:i/>
                <w:sz w:val="20"/>
                <w:szCs w:val="20"/>
              </w:rPr>
            </w:pPr>
            <w:r w:rsidRPr="006E4E37">
              <w:rPr>
                <w:rFonts w:asciiTheme="minorHAnsi" w:eastAsia="Arial Unicode MS" w:hAnsiTheme="minorHAnsi" w:cstheme="minorHAnsi"/>
                <w:i/>
                <w:sz w:val="20"/>
                <w:szCs w:val="20"/>
              </w:rPr>
              <w:t>Hauora</w:t>
            </w:r>
          </w:p>
        </w:tc>
        <w:tc>
          <w:tcPr>
            <w:tcW w:w="2977" w:type="dxa"/>
          </w:tcPr>
          <w:p w:rsidR="009005AA" w:rsidRPr="006E4E37" w:rsidRDefault="009005AA" w:rsidP="00BC0B44">
            <w:pPr>
              <w:spacing w:before="120" w:after="120"/>
              <w:rPr>
                <w:rFonts w:asciiTheme="minorHAnsi" w:eastAsia="Arial Unicode MS" w:hAnsiTheme="minorHAnsi" w:cstheme="minorHAnsi"/>
                <w:sz w:val="20"/>
                <w:szCs w:val="20"/>
              </w:rPr>
            </w:pPr>
            <w:r w:rsidRPr="006E4E37">
              <w:rPr>
                <w:rFonts w:asciiTheme="minorHAnsi" w:eastAsia="Arial Unicode MS" w:hAnsiTheme="minorHAnsi" w:cstheme="minorHAnsi"/>
                <w:sz w:val="20"/>
                <w:szCs w:val="20"/>
              </w:rPr>
              <w:t>Health</w:t>
            </w:r>
          </w:p>
        </w:tc>
        <w:tc>
          <w:tcPr>
            <w:tcW w:w="992" w:type="dxa"/>
          </w:tcPr>
          <w:p w:rsidR="009005AA" w:rsidRPr="00B3404D" w:rsidRDefault="009005AA" w:rsidP="006E4E37">
            <w:pPr>
              <w:spacing w:before="120" w:after="120"/>
              <w:rPr>
                <w:rFonts w:asciiTheme="minorHAnsi" w:eastAsia="Arial Unicode MS" w:hAnsiTheme="minorHAnsi" w:cstheme="minorHAnsi"/>
                <w:i/>
                <w:sz w:val="20"/>
                <w:szCs w:val="20"/>
              </w:rPr>
            </w:pPr>
            <w:r w:rsidRPr="00B3404D">
              <w:rPr>
                <w:rFonts w:asciiTheme="minorHAnsi" w:eastAsia="Arial Unicode MS" w:hAnsiTheme="minorHAnsi" w:cstheme="minorHAnsi"/>
                <w:i/>
                <w:sz w:val="20"/>
                <w:szCs w:val="20"/>
              </w:rPr>
              <w:t>ARF</w:t>
            </w:r>
          </w:p>
        </w:tc>
        <w:tc>
          <w:tcPr>
            <w:tcW w:w="3686" w:type="dxa"/>
          </w:tcPr>
          <w:p w:rsidR="009005AA" w:rsidRPr="00B3404D" w:rsidRDefault="009005AA" w:rsidP="006E4E37">
            <w:pPr>
              <w:spacing w:before="120" w:after="120"/>
              <w:rPr>
                <w:rFonts w:asciiTheme="minorHAnsi" w:eastAsia="Arial Unicode MS" w:hAnsiTheme="minorHAnsi" w:cstheme="minorHAnsi"/>
                <w:sz w:val="20"/>
                <w:szCs w:val="20"/>
              </w:rPr>
            </w:pPr>
            <w:r w:rsidRPr="00B3404D">
              <w:rPr>
                <w:rFonts w:asciiTheme="minorHAnsi" w:eastAsia="Arial Unicode MS" w:hAnsiTheme="minorHAnsi" w:cstheme="minorHAnsi"/>
                <w:sz w:val="20"/>
                <w:szCs w:val="20"/>
              </w:rPr>
              <w:t>Acute Rheumatic Fever</w:t>
            </w:r>
          </w:p>
        </w:tc>
      </w:tr>
      <w:tr w:rsidR="009005AA" w:rsidRPr="006E4E37" w:rsidTr="00B91DEA">
        <w:tc>
          <w:tcPr>
            <w:tcW w:w="1242" w:type="dxa"/>
          </w:tcPr>
          <w:p w:rsidR="009005AA" w:rsidRPr="006E4E37" w:rsidRDefault="009005AA" w:rsidP="00BC0B44">
            <w:pPr>
              <w:spacing w:before="120" w:after="120"/>
              <w:rPr>
                <w:rFonts w:asciiTheme="minorHAnsi" w:eastAsia="Arial Unicode MS" w:hAnsiTheme="minorHAnsi" w:cstheme="minorHAnsi"/>
                <w:i/>
                <w:sz w:val="20"/>
                <w:szCs w:val="20"/>
              </w:rPr>
            </w:pPr>
            <w:r w:rsidRPr="006E4E37">
              <w:rPr>
                <w:rFonts w:asciiTheme="minorHAnsi" w:eastAsia="Arial Unicode MS" w:hAnsiTheme="minorHAnsi" w:cstheme="minorHAnsi"/>
                <w:i/>
                <w:sz w:val="20"/>
                <w:szCs w:val="20"/>
              </w:rPr>
              <w:t>Hui</w:t>
            </w:r>
          </w:p>
        </w:tc>
        <w:tc>
          <w:tcPr>
            <w:tcW w:w="2977" w:type="dxa"/>
          </w:tcPr>
          <w:p w:rsidR="009005AA" w:rsidRPr="006E4E37" w:rsidRDefault="009005AA" w:rsidP="00BC0B44">
            <w:pPr>
              <w:spacing w:before="120" w:after="120"/>
              <w:rPr>
                <w:rFonts w:asciiTheme="minorHAnsi" w:eastAsia="Arial Unicode MS" w:hAnsiTheme="minorHAnsi" w:cstheme="minorHAnsi"/>
                <w:sz w:val="20"/>
                <w:szCs w:val="20"/>
              </w:rPr>
            </w:pPr>
            <w:r w:rsidRPr="006E4E37">
              <w:rPr>
                <w:rFonts w:asciiTheme="minorHAnsi" w:eastAsia="Arial Unicode MS" w:hAnsiTheme="minorHAnsi" w:cstheme="minorHAnsi"/>
                <w:sz w:val="20"/>
                <w:szCs w:val="20"/>
              </w:rPr>
              <w:t>Meeting, gathering</w:t>
            </w:r>
          </w:p>
        </w:tc>
        <w:tc>
          <w:tcPr>
            <w:tcW w:w="992" w:type="dxa"/>
          </w:tcPr>
          <w:p w:rsidR="009005AA" w:rsidRPr="00B3404D" w:rsidRDefault="009005AA" w:rsidP="006E4E37">
            <w:pPr>
              <w:spacing w:before="120" w:after="120"/>
              <w:rPr>
                <w:rFonts w:asciiTheme="minorHAnsi" w:eastAsia="Arial Unicode MS" w:hAnsiTheme="minorHAnsi" w:cstheme="minorHAnsi"/>
                <w:i/>
                <w:sz w:val="20"/>
                <w:szCs w:val="20"/>
              </w:rPr>
            </w:pPr>
            <w:r w:rsidRPr="00B3404D">
              <w:rPr>
                <w:rFonts w:asciiTheme="minorHAnsi" w:eastAsia="Arial Unicode MS" w:hAnsiTheme="minorHAnsi" w:cstheme="minorHAnsi"/>
                <w:i/>
                <w:sz w:val="20"/>
                <w:szCs w:val="20"/>
              </w:rPr>
              <w:t>BSMC</w:t>
            </w:r>
          </w:p>
        </w:tc>
        <w:tc>
          <w:tcPr>
            <w:tcW w:w="3686" w:type="dxa"/>
          </w:tcPr>
          <w:p w:rsidR="009005AA" w:rsidRPr="00B3404D" w:rsidRDefault="009005AA" w:rsidP="006E4E37">
            <w:pPr>
              <w:spacing w:before="120" w:after="120"/>
              <w:rPr>
                <w:rFonts w:asciiTheme="minorHAnsi" w:eastAsia="Arial Unicode MS" w:hAnsiTheme="minorHAnsi" w:cstheme="minorHAnsi"/>
                <w:sz w:val="20"/>
                <w:szCs w:val="20"/>
              </w:rPr>
            </w:pPr>
            <w:r w:rsidRPr="00B3404D">
              <w:rPr>
                <w:rFonts w:asciiTheme="minorHAnsi" w:eastAsia="Arial Unicode MS" w:hAnsiTheme="minorHAnsi" w:cstheme="minorHAnsi"/>
                <w:sz w:val="20"/>
                <w:szCs w:val="20"/>
              </w:rPr>
              <w:t>Better, Sooner, More Convenient</w:t>
            </w:r>
          </w:p>
        </w:tc>
      </w:tr>
      <w:tr w:rsidR="009005AA" w:rsidRPr="006E4E37" w:rsidTr="00B91DEA">
        <w:tc>
          <w:tcPr>
            <w:tcW w:w="1242" w:type="dxa"/>
          </w:tcPr>
          <w:p w:rsidR="009005AA" w:rsidRPr="006E4E37" w:rsidRDefault="009005AA" w:rsidP="00BC0B44">
            <w:pPr>
              <w:spacing w:before="120" w:after="120"/>
              <w:rPr>
                <w:rFonts w:asciiTheme="minorHAnsi" w:eastAsia="Arial Unicode MS" w:hAnsiTheme="minorHAnsi" w:cstheme="minorHAnsi"/>
                <w:i/>
                <w:sz w:val="20"/>
                <w:szCs w:val="20"/>
              </w:rPr>
            </w:pPr>
            <w:r w:rsidRPr="006E4E37">
              <w:rPr>
                <w:rFonts w:asciiTheme="minorHAnsi" w:eastAsia="Arial Unicode MS" w:hAnsiTheme="minorHAnsi" w:cstheme="minorHAnsi"/>
                <w:i/>
                <w:sz w:val="20"/>
                <w:szCs w:val="20"/>
              </w:rPr>
              <w:t xml:space="preserve">Iwi </w:t>
            </w:r>
          </w:p>
        </w:tc>
        <w:tc>
          <w:tcPr>
            <w:tcW w:w="2977" w:type="dxa"/>
          </w:tcPr>
          <w:p w:rsidR="009005AA" w:rsidRPr="006E4E37" w:rsidRDefault="009005AA" w:rsidP="00BC0B44">
            <w:pPr>
              <w:spacing w:before="120" w:after="120"/>
              <w:rPr>
                <w:rFonts w:asciiTheme="minorHAnsi" w:eastAsia="Arial Unicode MS" w:hAnsiTheme="minorHAnsi" w:cstheme="minorHAnsi"/>
                <w:sz w:val="20"/>
                <w:szCs w:val="20"/>
              </w:rPr>
            </w:pPr>
            <w:r w:rsidRPr="006E4E37">
              <w:rPr>
                <w:rFonts w:asciiTheme="minorHAnsi" w:eastAsia="Arial Unicode MS" w:hAnsiTheme="minorHAnsi" w:cstheme="minorHAnsi"/>
                <w:sz w:val="20"/>
                <w:szCs w:val="20"/>
              </w:rPr>
              <w:t>Tribe</w:t>
            </w:r>
          </w:p>
        </w:tc>
        <w:tc>
          <w:tcPr>
            <w:tcW w:w="992" w:type="dxa"/>
          </w:tcPr>
          <w:p w:rsidR="009005AA" w:rsidRPr="00B3404D" w:rsidRDefault="009005AA" w:rsidP="006E4E37">
            <w:pPr>
              <w:spacing w:before="120" w:after="120"/>
              <w:rPr>
                <w:rFonts w:asciiTheme="minorHAnsi" w:eastAsia="Arial Unicode MS" w:hAnsiTheme="minorHAnsi" w:cstheme="minorHAnsi"/>
                <w:i/>
                <w:sz w:val="20"/>
                <w:szCs w:val="20"/>
              </w:rPr>
            </w:pPr>
            <w:r w:rsidRPr="00B3404D">
              <w:rPr>
                <w:rFonts w:asciiTheme="minorHAnsi" w:eastAsia="Arial Unicode MS" w:hAnsiTheme="minorHAnsi" w:cstheme="minorHAnsi"/>
                <w:i/>
                <w:sz w:val="20"/>
                <w:szCs w:val="20"/>
              </w:rPr>
              <w:t>FS</w:t>
            </w:r>
          </w:p>
        </w:tc>
        <w:tc>
          <w:tcPr>
            <w:tcW w:w="3686" w:type="dxa"/>
          </w:tcPr>
          <w:p w:rsidR="009005AA" w:rsidRPr="00B3404D" w:rsidRDefault="009005AA" w:rsidP="006E4E37">
            <w:pPr>
              <w:spacing w:before="120" w:after="120"/>
              <w:rPr>
                <w:rFonts w:asciiTheme="minorHAnsi" w:eastAsia="Arial Unicode MS" w:hAnsiTheme="minorHAnsi" w:cstheme="minorHAnsi"/>
                <w:sz w:val="20"/>
                <w:szCs w:val="20"/>
              </w:rPr>
            </w:pPr>
            <w:r w:rsidRPr="00B3404D">
              <w:rPr>
                <w:rFonts w:asciiTheme="minorHAnsi" w:eastAsia="Arial Unicode MS" w:hAnsiTheme="minorHAnsi" w:cstheme="minorHAnsi"/>
                <w:sz w:val="20"/>
                <w:szCs w:val="20"/>
              </w:rPr>
              <w:t>Family Start – a home visiting programme that focuses on child health and well being</w:t>
            </w:r>
          </w:p>
        </w:tc>
      </w:tr>
      <w:tr w:rsidR="009005AA" w:rsidRPr="006E4E37" w:rsidTr="00B91DEA">
        <w:tc>
          <w:tcPr>
            <w:tcW w:w="1242" w:type="dxa"/>
          </w:tcPr>
          <w:p w:rsidR="009005AA" w:rsidRPr="006E4E37" w:rsidRDefault="009005AA" w:rsidP="00BC0B44">
            <w:pPr>
              <w:spacing w:before="120" w:after="120"/>
              <w:rPr>
                <w:rFonts w:asciiTheme="minorHAnsi" w:eastAsia="Arial Unicode MS" w:hAnsiTheme="minorHAnsi" w:cstheme="minorHAnsi"/>
                <w:i/>
                <w:sz w:val="20"/>
                <w:szCs w:val="20"/>
              </w:rPr>
            </w:pPr>
            <w:r w:rsidRPr="006E4E37">
              <w:rPr>
                <w:rFonts w:asciiTheme="minorHAnsi" w:eastAsia="Arial Unicode MS" w:hAnsiTheme="minorHAnsi" w:cstheme="minorHAnsi"/>
                <w:i/>
                <w:sz w:val="20"/>
                <w:szCs w:val="20"/>
              </w:rPr>
              <w:t>Kaupapa</w:t>
            </w:r>
          </w:p>
        </w:tc>
        <w:tc>
          <w:tcPr>
            <w:tcW w:w="2977" w:type="dxa"/>
          </w:tcPr>
          <w:p w:rsidR="009005AA" w:rsidRPr="006E4E37" w:rsidRDefault="009005AA" w:rsidP="00BC0B44">
            <w:pPr>
              <w:spacing w:before="120" w:after="120"/>
              <w:rPr>
                <w:rFonts w:asciiTheme="minorHAnsi" w:eastAsia="Arial Unicode MS" w:hAnsiTheme="minorHAnsi" w:cstheme="minorHAnsi"/>
                <w:sz w:val="20"/>
                <w:szCs w:val="20"/>
              </w:rPr>
            </w:pPr>
            <w:r w:rsidRPr="006E4E37">
              <w:rPr>
                <w:rFonts w:asciiTheme="minorHAnsi" w:eastAsia="Arial Unicode MS" w:hAnsiTheme="minorHAnsi" w:cstheme="minorHAnsi"/>
                <w:sz w:val="20"/>
                <w:szCs w:val="20"/>
              </w:rPr>
              <w:t>Issue / Subject</w:t>
            </w:r>
          </w:p>
        </w:tc>
        <w:tc>
          <w:tcPr>
            <w:tcW w:w="992" w:type="dxa"/>
          </w:tcPr>
          <w:p w:rsidR="009005AA" w:rsidRPr="00B3404D" w:rsidRDefault="009005AA" w:rsidP="006E4E37">
            <w:pPr>
              <w:spacing w:before="120" w:after="120"/>
              <w:rPr>
                <w:rFonts w:asciiTheme="minorHAnsi" w:eastAsia="Arial Unicode MS" w:hAnsiTheme="minorHAnsi" w:cstheme="minorHAnsi"/>
                <w:i/>
                <w:sz w:val="20"/>
                <w:szCs w:val="20"/>
              </w:rPr>
            </w:pPr>
            <w:r w:rsidRPr="00B3404D">
              <w:rPr>
                <w:rFonts w:asciiTheme="minorHAnsi" w:eastAsia="Arial Unicode MS" w:hAnsiTheme="minorHAnsi" w:cstheme="minorHAnsi"/>
                <w:i/>
                <w:sz w:val="20"/>
                <w:szCs w:val="20"/>
              </w:rPr>
              <w:t>GAS</w:t>
            </w:r>
          </w:p>
        </w:tc>
        <w:tc>
          <w:tcPr>
            <w:tcW w:w="3686" w:type="dxa"/>
          </w:tcPr>
          <w:p w:rsidR="009005AA" w:rsidRPr="00B3404D" w:rsidRDefault="009005AA" w:rsidP="006E4E37">
            <w:pPr>
              <w:spacing w:before="120" w:after="120"/>
              <w:rPr>
                <w:rFonts w:asciiTheme="minorHAnsi" w:eastAsia="Arial Unicode MS" w:hAnsiTheme="minorHAnsi" w:cstheme="minorHAnsi"/>
                <w:sz w:val="20"/>
                <w:szCs w:val="20"/>
              </w:rPr>
            </w:pPr>
            <w:r w:rsidRPr="00B3404D">
              <w:rPr>
                <w:rFonts w:asciiTheme="minorHAnsi" w:eastAsia="Arial Unicode MS" w:hAnsiTheme="minorHAnsi" w:cstheme="minorHAnsi"/>
                <w:sz w:val="20"/>
                <w:szCs w:val="20"/>
              </w:rPr>
              <w:t>Group A beta-haemolytic streptococcal pharyngitis</w:t>
            </w:r>
          </w:p>
        </w:tc>
      </w:tr>
      <w:tr w:rsidR="009005AA" w:rsidRPr="006E4E37" w:rsidTr="00B91DEA">
        <w:tc>
          <w:tcPr>
            <w:tcW w:w="1242" w:type="dxa"/>
          </w:tcPr>
          <w:p w:rsidR="009005AA" w:rsidRPr="006E4E37" w:rsidRDefault="009005AA" w:rsidP="00BC0B44">
            <w:pPr>
              <w:spacing w:before="120" w:after="120"/>
              <w:rPr>
                <w:rFonts w:asciiTheme="minorHAnsi" w:eastAsia="Arial Unicode MS" w:hAnsiTheme="minorHAnsi" w:cstheme="minorHAnsi"/>
                <w:i/>
                <w:sz w:val="20"/>
                <w:szCs w:val="20"/>
              </w:rPr>
            </w:pPr>
            <w:r w:rsidRPr="006E4E37">
              <w:rPr>
                <w:rFonts w:asciiTheme="minorHAnsi" w:eastAsia="Arial Unicode MS" w:hAnsiTheme="minorHAnsi" w:cstheme="minorHAnsi"/>
                <w:i/>
                <w:sz w:val="20"/>
                <w:szCs w:val="20"/>
              </w:rPr>
              <w:t>Māori</w:t>
            </w:r>
          </w:p>
        </w:tc>
        <w:tc>
          <w:tcPr>
            <w:tcW w:w="2977" w:type="dxa"/>
          </w:tcPr>
          <w:p w:rsidR="009005AA" w:rsidRPr="006E4E37" w:rsidRDefault="009005AA" w:rsidP="00BC0B44">
            <w:pPr>
              <w:spacing w:before="120" w:after="120"/>
              <w:rPr>
                <w:rFonts w:asciiTheme="minorHAnsi" w:eastAsia="Arial Unicode MS" w:hAnsiTheme="minorHAnsi" w:cstheme="minorHAnsi"/>
                <w:sz w:val="20"/>
                <w:szCs w:val="20"/>
              </w:rPr>
            </w:pPr>
            <w:r w:rsidRPr="006E4E37">
              <w:rPr>
                <w:rFonts w:asciiTheme="minorHAnsi" w:eastAsia="Arial Unicode MS" w:hAnsiTheme="minorHAnsi" w:cstheme="minorHAnsi"/>
                <w:sz w:val="20"/>
                <w:szCs w:val="20"/>
              </w:rPr>
              <w:t>Indigenous people of New Zealand</w:t>
            </w:r>
          </w:p>
        </w:tc>
        <w:tc>
          <w:tcPr>
            <w:tcW w:w="992" w:type="dxa"/>
          </w:tcPr>
          <w:p w:rsidR="009005AA" w:rsidRPr="00B3404D" w:rsidRDefault="009005AA" w:rsidP="006E4E37">
            <w:pPr>
              <w:spacing w:before="120" w:after="120"/>
              <w:rPr>
                <w:rFonts w:asciiTheme="minorHAnsi" w:eastAsia="Arial Unicode MS" w:hAnsiTheme="minorHAnsi" w:cstheme="minorHAnsi"/>
                <w:i/>
                <w:sz w:val="20"/>
                <w:szCs w:val="20"/>
              </w:rPr>
            </w:pPr>
            <w:r w:rsidRPr="00B3404D">
              <w:rPr>
                <w:rFonts w:asciiTheme="minorHAnsi" w:eastAsia="Arial Unicode MS" w:hAnsiTheme="minorHAnsi" w:cstheme="minorHAnsi"/>
                <w:i/>
                <w:sz w:val="20"/>
                <w:szCs w:val="20"/>
              </w:rPr>
              <w:t>GP</w:t>
            </w:r>
          </w:p>
        </w:tc>
        <w:tc>
          <w:tcPr>
            <w:tcW w:w="3686" w:type="dxa"/>
          </w:tcPr>
          <w:p w:rsidR="009005AA" w:rsidRPr="00B3404D" w:rsidRDefault="009005AA" w:rsidP="006E4E37">
            <w:pPr>
              <w:spacing w:before="120" w:after="120"/>
              <w:rPr>
                <w:rFonts w:asciiTheme="minorHAnsi" w:eastAsia="Arial Unicode MS" w:hAnsiTheme="minorHAnsi" w:cstheme="minorHAnsi"/>
                <w:sz w:val="20"/>
                <w:szCs w:val="20"/>
              </w:rPr>
            </w:pPr>
            <w:r w:rsidRPr="00B3404D">
              <w:rPr>
                <w:rFonts w:asciiTheme="minorHAnsi" w:eastAsia="Arial Unicode MS" w:hAnsiTheme="minorHAnsi" w:cstheme="minorHAnsi"/>
                <w:sz w:val="20"/>
                <w:szCs w:val="20"/>
              </w:rPr>
              <w:t>General Practitioner</w:t>
            </w:r>
          </w:p>
        </w:tc>
      </w:tr>
      <w:tr w:rsidR="009005AA" w:rsidRPr="006E4E37" w:rsidTr="00B91DEA">
        <w:tc>
          <w:tcPr>
            <w:tcW w:w="1242" w:type="dxa"/>
          </w:tcPr>
          <w:p w:rsidR="009005AA" w:rsidRPr="006E4E37" w:rsidRDefault="009005AA" w:rsidP="00BC0B44">
            <w:pPr>
              <w:spacing w:before="120" w:after="120"/>
              <w:rPr>
                <w:rFonts w:asciiTheme="minorHAnsi" w:eastAsia="Arial Unicode MS" w:hAnsiTheme="minorHAnsi" w:cstheme="minorHAnsi"/>
                <w:i/>
                <w:sz w:val="20"/>
                <w:szCs w:val="20"/>
              </w:rPr>
            </w:pPr>
            <w:r w:rsidRPr="006E4E37">
              <w:rPr>
                <w:rFonts w:asciiTheme="minorHAnsi" w:eastAsia="Arial Unicode MS" w:hAnsiTheme="minorHAnsi" w:cstheme="minorHAnsi"/>
                <w:i/>
                <w:sz w:val="20"/>
                <w:szCs w:val="20"/>
              </w:rPr>
              <w:t>Ngā Ara Tika</w:t>
            </w:r>
          </w:p>
        </w:tc>
        <w:tc>
          <w:tcPr>
            <w:tcW w:w="2977" w:type="dxa"/>
          </w:tcPr>
          <w:p w:rsidR="009005AA" w:rsidRPr="006E4E37" w:rsidRDefault="009005AA" w:rsidP="00BC0B44">
            <w:pPr>
              <w:spacing w:before="120" w:after="120"/>
              <w:rPr>
                <w:rFonts w:asciiTheme="minorHAnsi" w:eastAsia="Arial Unicode MS" w:hAnsiTheme="minorHAnsi" w:cstheme="minorHAnsi"/>
                <w:sz w:val="20"/>
                <w:szCs w:val="20"/>
              </w:rPr>
            </w:pPr>
            <w:r w:rsidRPr="006E4E37">
              <w:rPr>
                <w:rFonts w:asciiTheme="minorHAnsi" w:eastAsia="Arial Unicode MS" w:hAnsiTheme="minorHAnsi" w:cstheme="minorHAnsi"/>
                <w:sz w:val="20"/>
                <w:szCs w:val="20"/>
              </w:rPr>
              <w:t>Best practice pathways</w:t>
            </w:r>
          </w:p>
        </w:tc>
        <w:tc>
          <w:tcPr>
            <w:tcW w:w="992" w:type="dxa"/>
          </w:tcPr>
          <w:p w:rsidR="009005AA" w:rsidRPr="00B3404D" w:rsidRDefault="009005AA" w:rsidP="006E4E37">
            <w:pPr>
              <w:spacing w:before="120" w:after="120"/>
              <w:rPr>
                <w:rFonts w:asciiTheme="minorHAnsi" w:eastAsia="Arial Unicode MS" w:hAnsiTheme="minorHAnsi" w:cstheme="minorHAnsi"/>
                <w:i/>
                <w:sz w:val="20"/>
                <w:szCs w:val="20"/>
              </w:rPr>
            </w:pPr>
            <w:r w:rsidRPr="00B3404D">
              <w:rPr>
                <w:rFonts w:asciiTheme="minorHAnsi" w:eastAsia="Arial Unicode MS" w:hAnsiTheme="minorHAnsi" w:cstheme="minorHAnsi"/>
                <w:i/>
                <w:sz w:val="20"/>
                <w:szCs w:val="20"/>
              </w:rPr>
              <w:t>IT</w:t>
            </w:r>
          </w:p>
        </w:tc>
        <w:tc>
          <w:tcPr>
            <w:tcW w:w="3686" w:type="dxa"/>
          </w:tcPr>
          <w:p w:rsidR="009005AA" w:rsidRPr="00B3404D" w:rsidRDefault="009005AA" w:rsidP="006E4E37">
            <w:pPr>
              <w:spacing w:before="120" w:after="120"/>
              <w:rPr>
                <w:rFonts w:asciiTheme="minorHAnsi" w:eastAsia="Arial Unicode MS" w:hAnsiTheme="minorHAnsi" w:cstheme="minorHAnsi"/>
                <w:sz w:val="20"/>
                <w:szCs w:val="20"/>
              </w:rPr>
            </w:pPr>
            <w:r w:rsidRPr="00B3404D">
              <w:rPr>
                <w:rFonts w:asciiTheme="minorHAnsi" w:eastAsia="Arial Unicode MS" w:hAnsiTheme="minorHAnsi" w:cstheme="minorHAnsi"/>
                <w:sz w:val="20"/>
                <w:szCs w:val="20"/>
              </w:rPr>
              <w:t>Information Technology</w:t>
            </w:r>
          </w:p>
        </w:tc>
      </w:tr>
      <w:tr w:rsidR="009005AA" w:rsidRPr="006E4E37" w:rsidTr="00B91DEA">
        <w:tc>
          <w:tcPr>
            <w:tcW w:w="1242" w:type="dxa"/>
          </w:tcPr>
          <w:p w:rsidR="009005AA" w:rsidRPr="006E4E37" w:rsidRDefault="009005AA" w:rsidP="00BC0B44">
            <w:pPr>
              <w:spacing w:before="120" w:after="120"/>
              <w:rPr>
                <w:rFonts w:asciiTheme="minorHAnsi" w:eastAsia="Arial Unicode MS" w:hAnsiTheme="minorHAnsi" w:cstheme="minorHAnsi"/>
                <w:i/>
                <w:sz w:val="20"/>
                <w:szCs w:val="20"/>
              </w:rPr>
            </w:pPr>
            <w:r w:rsidRPr="006E4E37">
              <w:rPr>
                <w:rFonts w:asciiTheme="minorHAnsi" w:eastAsia="Arial Unicode MS" w:hAnsiTheme="minorHAnsi" w:cstheme="minorHAnsi"/>
                <w:i/>
                <w:sz w:val="20"/>
                <w:szCs w:val="20"/>
              </w:rPr>
              <w:t>Oranga niho</w:t>
            </w:r>
          </w:p>
        </w:tc>
        <w:tc>
          <w:tcPr>
            <w:tcW w:w="2977" w:type="dxa"/>
          </w:tcPr>
          <w:p w:rsidR="009005AA" w:rsidRPr="006E4E37" w:rsidRDefault="009005AA" w:rsidP="00BC0B44">
            <w:pPr>
              <w:spacing w:before="120" w:after="120"/>
              <w:rPr>
                <w:rFonts w:asciiTheme="minorHAnsi" w:eastAsia="Arial Unicode MS" w:hAnsiTheme="minorHAnsi" w:cstheme="minorHAnsi"/>
                <w:sz w:val="20"/>
                <w:szCs w:val="20"/>
              </w:rPr>
            </w:pPr>
            <w:r w:rsidRPr="006E4E37">
              <w:rPr>
                <w:rFonts w:asciiTheme="minorHAnsi" w:eastAsia="Arial Unicode MS" w:hAnsiTheme="minorHAnsi" w:cstheme="minorHAnsi"/>
                <w:sz w:val="20"/>
                <w:szCs w:val="20"/>
              </w:rPr>
              <w:t>Oral health</w:t>
            </w:r>
          </w:p>
        </w:tc>
        <w:tc>
          <w:tcPr>
            <w:tcW w:w="992" w:type="dxa"/>
          </w:tcPr>
          <w:p w:rsidR="009005AA" w:rsidRPr="00B3404D" w:rsidRDefault="009005AA" w:rsidP="00BC0B44">
            <w:pPr>
              <w:spacing w:before="120" w:after="120"/>
              <w:rPr>
                <w:rFonts w:asciiTheme="minorHAnsi" w:eastAsia="Arial Unicode MS" w:hAnsiTheme="minorHAnsi" w:cstheme="minorHAnsi"/>
                <w:i/>
                <w:sz w:val="20"/>
                <w:szCs w:val="20"/>
              </w:rPr>
            </w:pPr>
            <w:r w:rsidRPr="00B3404D">
              <w:rPr>
                <w:rFonts w:asciiTheme="minorHAnsi" w:eastAsia="Arial Unicode MS" w:hAnsiTheme="minorHAnsi" w:cstheme="minorHAnsi"/>
                <w:i/>
                <w:sz w:val="20"/>
                <w:szCs w:val="20"/>
              </w:rPr>
              <w:t>MOHP</w:t>
            </w:r>
          </w:p>
        </w:tc>
        <w:tc>
          <w:tcPr>
            <w:tcW w:w="3686" w:type="dxa"/>
          </w:tcPr>
          <w:p w:rsidR="009005AA" w:rsidRPr="00B3404D" w:rsidRDefault="009005AA" w:rsidP="00BC0B44">
            <w:pPr>
              <w:spacing w:before="120" w:after="120"/>
              <w:rPr>
                <w:rFonts w:asciiTheme="minorHAnsi" w:eastAsia="Arial Unicode MS" w:hAnsiTheme="minorHAnsi" w:cstheme="minorHAnsi"/>
                <w:sz w:val="20"/>
                <w:szCs w:val="20"/>
              </w:rPr>
            </w:pPr>
            <w:r w:rsidRPr="00B3404D">
              <w:rPr>
                <w:rFonts w:asciiTheme="minorHAnsi" w:eastAsia="Arial Unicode MS" w:hAnsiTheme="minorHAnsi" w:cstheme="minorHAnsi"/>
                <w:sz w:val="20"/>
                <w:szCs w:val="20"/>
              </w:rPr>
              <w:t>Māori Oral Health Provider</w:t>
            </w:r>
          </w:p>
        </w:tc>
      </w:tr>
      <w:tr w:rsidR="009005AA" w:rsidRPr="006E4E37" w:rsidTr="00B91DEA">
        <w:tc>
          <w:tcPr>
            <w:tcW w:w="1242" w:type="dxa"/>
          </w:tcPr>
          <w:p w:rsidR="009005AA" w:rsidRPr="006E4E37" w:rsidRDefault="009005AA" w:rsidP="00BC0B44">
            <w:pPr>
              <w:spacing w:before="120" w:after="120"/>
              <w:rPr>
                <w:rFonts w:asciiTheme="minorHAnsi" w:eastAsia="Arial Unicode MS" w:hAnsiTheme="minorHAnsi" w:cstheme="minorHAnsi"/>
                <w:i/>
                <w:sz w:val="20"/>
                <w:szCs w:val="20"/>
              </w:rPr>
            </w:pPr>
            <w:r w:rsidRPr="006E4E37">
              <w:rPr>
                <w:rFonts w:asciiTheme="minorHAnsi" w:eastAsia="Arial Unicode MS" w:hAnsiTheme="minorHAnsi" w:cstheme="minorHAnsi"/>
                <w:i/>
                <w:sz w:val="20"/>
                <w:szCs w:val="20"/>
              </w:rPr>
              <w:t>Pēpi</w:t>
            </w:r>
          </w:p>
        </w:tc>
        <w:tc>
          <w:tcPr>
            <w:tcW w:w="2977" w:type="dxa"/>
          </w:tcPr>
          <w:p w:rsidR="009005AA" w:rsidRPr="006E4E37" w:rsidRDefault="009005AA" w:rsidP="00BC0B44">
            <w:pPr>
              <w:spacing w:before="120" w:after="120"/>
              <w:rPr>
                <w:rFonts w:asciiTheme="minorHAnsi" w:eastAsia="Arial Unicode MS" w:hAnsiTheme="minorHAnsi" w:cstheme="minorHAnsi"/>
                <w:sz w:val="20"/>
                <w:szCs w:val="20"/>
              </w:rPr>
            </w:pPr>
            <w:r w:rsidRPr="006E4E37">
              <w:rPr>
                <w:rFonts w:asciiTheme="minorHAnsi" w:eastAsia="Arial Unicode MS" w:hAnsiTheme="minorHAnsi" w:cstheme="minorHAnsi"/>
                <w:sz w:val="20"/>
                <w:szCs w:val="20"/>
              </w:rPr>
              <w:t>Baby</w:t>
            </w:r>
          </w:p>
        </w:tc>
        <w:tc>
          <w:tcPr>
            <w:tcW w:w="992" w:type="dxa"/>
          </w:tcPr>
          <w:p w:rsidR="009005AA" w:rsidRPr="00B3404D" w:rsidRDefault="009005AA" w:rsidP="00BC0B44">
            <w:pPr>
              <w:spacing w:before="120" w:after="120"/>
              <w:rPr>
                <w:rFonts w:asciiTheme="minorHAnsi" w:eastAsia="Arial Unicode MS" w:hAnsiTheme="minorHAnsi" w:cstheme="minorHAnsi"/>
                <w:i/>
                <w:sz w:val="20"/>
                <w:szCs w:val="20"/>
              </w:rPr>
            </w:pPr>
            <w:r w:rsidRPr="00B3404D">
              <w:rPr>
                <w:rFonts w:asciiTheme="minorHAnsi" w:eastAsia="Arial Unicode MS" w:hAnsiTheme="minorHAnsi" w:cstheme="minorHAnsi"/>
                <w:i/>
                <w:sz w:val="20"/>
                <w:szCs w:val="20"/>
              </w:rPr>
              <w:t>NIR</w:t>
            </w:r>
          </w:p>
        </w:tc>
        <w:tc>
          <w:tcPr>
            <w:tcW w:w="3686" w:type="dxa"/>
          </w:tcPr>
          <w:p w:rsidR="009005AA" w:rsidRPr="00B3404D" w:rsidRDefault="009005AA" w:rsidP="00BC0B44">
            <w:pPr>
              <w:autoSpaceDE w:val="0"/>
              <w:autoSpaceDN w:val="0"/>
              <w:adjustRightInd w:val="0"/>
              <w:spacing w:before="120" w:after="120"/>
              <w:rPr>
                <w:rFonts w:asciiTheme="minorHAnsi" w:eastAsia="Arial Unicode MS" w:hAnsiTheme="minorHAnsi" w:cstheme="minorHAnsi"/>
                <w:sz w:val="20"/>
                <w:szCs w:val="20"/>
              </w:rPr>
            </w:pPr>
            <w:r w:rsidRPr="00B3404D">
              <w:rPr>
                <w:rFonts w:asciiTheme="minorHAnsi" w:eastAsia="Arial Unicode MS" w:hAnsiTheme="minorHAnsi" w:cstheme="minorHAnsi"/>
                <w:sz w:val="20"/>
                <w:szCs w:val="20"/>
              </w:rPr>
              <w:t xml:space="preserve">National Immunisation Register – A computerised information system </w:t>
            </w:r>
          </w:p>
        </w:tc>
      </w:tr>
      <w:tr w:rsidR="009005AA" w:rsidRPr="006E4E37" w:rsidTr="00B91DEA">
        <w:tc>
          <w:tcPr>
            <w:tcW w:w="1242" w:type="dxa"/>
          </w:tcPr>
          <w:p w:rsidR="009005AA" w:rsidRPr="006E4E37" w:rsidRDefault="009005AA" w:rsidP="00BC0B44">
            <w:pPr>
              <w:spacing w:before="120" w:after="120"/>
              <w:rPr>
                <w:rFonts w:asciiTheme="minorHAnsi" w:eastAsia="Arial Unicode MS" w:hAnsiTheme="minorHAnsi" w:cstheme="minorHAnsi"/>
                <w:i/>
                <w:sz w:val="20"/>
                <w:szCs w:val="20"/>
              </w:rPr>
            </w:pPr>
            <w:r w:rsidRPr="006E4E37">
              <w:rPr>
                <w:rFonts w:asciiTheme="minorHAnsi" w:eastAsia="Arial Unicode MS" w:hAnsiTheme="minorHAnsi" w:cstheme="minorHAnsi"/>
                <w:i/>
                <w:sz w:val="20"/>
                <w:szCs w:val="20"/>
              </w:rPr>
              <w:t>Rangatahi</w:t>
            </w:r>
          </w:p>
        </w:tc>
        <w:tc>
          <w:tcPr>
            <w:tcW w:w="2977" w:type="dxa"/>
          </w:tcPr>
          <w:p w:rsidR="009005AA" w:rsidRPr="006E4E37" w:rsidRDefault="009005AA" w:rsidP="00BC0B44">
            <w:pPr>
              <w:spacing w:before="120" w:after="120"/>
              <w:rPr>
                <w:rFonts w:asciiTheme="minorHAnsi" w:eastAsia="Arial Unicode MS" w:hAnsiTheme="minorHAnsi" w:cstheme="minorHAnsi"/>
                <w:sz w:val="20"/>
                <w:szCs w:val="20"/>
              </w:rPr>
            </w:pPr>
            <w:r w:rsidRPr="006E4E37">
              <w:rPr>
                <w:rFonts w:asciiTheme="minorHAnsi" w:eastAsia="Arial Unicode MS" w:hAnsiTheme="minorHAnsi" w:cstheme="minorHAnsi"/>
                <w:sz w:val="20"/>
                <w:szCs w:val="20"/>
              </w:rPr>
              <w:t>Youth</w:t>
            </w:r>
          </w:p>
        </w:tc>
        <w:tc>
          <w:tcPr>
            <w:tcW w:w="992" w:type="dxa"/>
          </w:tcPr>
          <w:p w:rsidR="009005AA" w:rsidRPr="00B3404D" w:rsidRDefault="009005AA" w:rsidP="00BC0B44">
            <w:pPr>
              <w:spacing w:before="120" w:after="120"/>
              <w:rPr>
                <w:rFonts w:asciiTheme="minorHAnsi" w:eastAsia="Arial Unicode MS" w:hAnsiTheme="minorHAnsi" w:cstheme="minorHAnsi"/>
                <w:i/>
                <w:sz w:val="20"/>
                <w:szCs w:val="20"/>
              </w:rPr>
            </w:pPr>
            <w:r w:rsidRPr="00B3404D">
              <w:rPr>
                <w:rFonts w:asciiTheme="minorHAnsi" w:eastAsia="Arial Unicode MS" w:hAnsiTheme="minorHAnsi" w:cstheme="minorHAnsi"/>
                <w:i/>
                <w:sz w:val="20"/>
                <w:szCs w:val="20"/>
              </w:rPr>
              <w:t>NMOHCS</w:t>
            </w:r>
          </w:p>
        </w:tc>
        <w:tc>
          <w:tcPr>
            <w:tcW w:w="3686" w:type="dxa"/>
          </w:tcPr>
          <w:p w:rsidR="009005AA" w:rsidRPr="00B3404D" w:rsidRDefault="009005AA" w:rsidP="00BC0B44">
            <w:pPr>
              <w:autoSpaceDE w:val="0"/>
              <w:autoSpaceDN w:val="0"/>
              <w:adjustRightInd w:val="0"/>
              <w:spacing w:before="120" w:after="120"/>
              <w:rPr>
                <w:rFonts w:asciiTheme="minorHAnsi" w:eastAsia="Arial Unicode MS" w:hAnsiTheme="minorHAnsi" w:cstheme="minorHAnsi"/>
                <w:sz w:val="20"/>
                <w:szCs w:val="20"/>
              </w:rPr>
            </w:pPr>
            <w:r w:rsidRPr="00B3404D">
              <w:rPr>
                <w:rFonts w:asciiTheme="minorHAnsi" w:eastAsia="Arial Unicode MS" w:hAnsiTheme="minorHAnsi" w:cstheme="minorHAnsi"/>
                <w:sz w:val="20"/>
                <w:szCs w:val="20"/>
              </w:rPr>
              <w:t>National Māori Oral Health Coordination Service</w:t>
            </w:r>
          </w:p>
        </w:tc>
      </w:tr>
      <w:tr w:rsidR="009005AA" w:rsidRPr="006E4E37" w:rsidTr="00B91DEA">
        <w:tc>
          <w:tcPr>
            <w:tcW w:w="1242" w:type="dxa"/>
          </w:tcPr>
          <w:p w:rsidR="009005AA" w:rsidRPr="006E4E37" w:rsidRDefault="009005AA" w:rsidP="00BC0B44">
            <w:pPr>
              <w:spacing w:before="120" w:after="120"/>
              <w:rPr>
                <w:rFonts w:asciiTheme="minorHAnsi" w:eastAsia="Arial Unicode MS" w:hAnsiTheme="minorHAnsi" w:cstheme="minorHAnsi"/>
                <w:i/>
                <w:sz w:val="20"/>
                <w:szCs w:val="20"/>
              </w:rPr>
            </w:pPr>
            <w:r w:rsidRPr="006E4E37">
              <w:rPr>
                <w:rFonts w:asciiTheme="minorHAnsi" w:eastAsia="Arial Unicode MS" w:hAnsiTheme="minorHAnsi" w:cstheme="minorHAnsi"/>
                <w:i/>
                <w:sz w:val="20"/>
                <w:szCs w:val="20"/>
              </w:rPr>
              <w:t>Tamariki</w:t>
            </w:r>
          </w:p>
        </w:tc>
        <w:tc>
          <w:tcPr>
            <w:tcW w:w="2977" w:type="dxa"/>
          </w:tcPr>
          <w:p w:rsidR="009005AA" w:rsidRPr="006E4E37" w:rsidRDefault="009005AA" w:rsidP="00BC0B44">
            <w:pPr>
              <w:spacing w:before="120" w:after="120"/>
              <w:rPr>
                <w:rFonts w:asciiTheme="minorHAnsi" w:eastAsia="Arial Unicode MS" w:hAnsiTheme="minorHAnsi" w:cstheme="minorHAnsi"/>
                <w:sz w:val="20"/>
                <w:szCs w:val="20"/>
              </w:rPr>
            </w:pPr>
            <w:r w:rsidRPr="006E4E37">
              <w:rPr>
                <w:rFonts w:asciiTheme="minorHAnsi" w:eastAsia="Arial Unicode MS" w:hAnsiTheme="minorHAnsi" w:cstheme="minorHAnsi"/>
                <w:sz w:val="20"/>
                <w:szCs w:val="20"/>
              </w:rPr>
              <w:t>Children</w:t>
            </w:r>
          </w:p>
        </w:tc>
        <w:tc>
          <w:tcPr>
            <w:tcW w:w="992" w:type="dxa"/>
          </w:tcPr>
          <w:p w:rsidR="009005AA" w:rsidRPr="00B3404D" w:rsidRDefault="009005AA" w:rsidP="00BC0B44">
            <w:pPr>
              <w:spacing w:before="120" w:after="120"/>
              <w:rPr>
                <w:rFonts w:asciiTheme="minorHAnsi" w:eastAsia="Arial Unicode MS" w:hAnsiTheme="minorHAnsi" w:cstheme="minorHAnsi"/>
                <w:i/>
                <w:sz w:val="20"/>
                <w:szCs w:val="20"/>
              </w:rPr>
            </w:pPr>
            <w:r w:rsidRPr="00B3404D">
              <w:rPr>
                <w:rFonts w:asciiTheme="minorHAnsi" w:eastAsia="Arial Unicode MS" w:hAnsiTheme="minorHAnsi" w:cstheme="minorHAnsi"/>
                <w:i/>
                <w:sz w:val="20"/>
                <w:szCs w:val="20"/>
              </w:rPr>
              <w:t>NZ</w:t>
            </w:r>
          </w:p>
        </w:tc>
        <w:tc>
          <w:tcPr>
            <w:tcW w:w="3686" w:type="dxa"/>
          </w:tcPr>
          <w:p w:rsidR="009005AA" w:rsidRPr="00B3404D" w:rsidRDefault="009005AA" w:rsidP="00BC0B44">
            <w:pPr>
              <w:spacing w:before="120" w:after="120"/>
              <w:rPr>
                <w:rFonts w:asciiTheme="minorHAnsi" w:eastAsia="Arial Unicode MS" w:hAnsiTheme="minorHAnsi" w:cstheme="minorHAnsi"/>
                <w:sz w:val="20"/>
                <w:szCs w:val="20"/>
              </w:rPr>
            </w:pPr>
            <w:r w:rsidRPr="00B3404D">
              <w:rPr>
                <w:rFonts w:asciiTheme="minorHAnsi" w:eastAsia="Arial Unicode MS" w:hAnsiTheme="minorHAnsi" w:cstheme="minorHAnsi"/>
                <w:sz w:val="20"/>
                <w:szCs w:val="20"/>
              </w:rPr>
              <w:t>New Zealand</w:t>
            </w:r>
          </w:p>
        </w:tc>
      </w:tr>
      <w:tr w:rsidR="009005AA" w:rsidRPr="006E4E37" w:rsidTr="00B91DEA">
        <w:tc>
          <w:tcPr>
            <w:tcW w:w="1242" w:type="dxa"/>
          </w:tcPr>
          <w:p w:rsidR="009005AA" w:rsidRPr="006E4E37" w:rsidRDefault="009005AA" w:rsidP="00BC0B44">
            <w:pPr>
              <w:spacing w:before="120" w:after="120"/>
              <w:rPr>
                <w:rFonts w:asciiTheme="minorHAnsi" w:eastAsia="Arial Unicode MS" w:hAnsiTheme="minorHAnsi" w:cstheme="minorHAnsi"/>
                <w:i/>
                <w:sz w:val="20"/>
                <w:szCs w:val="20"/>
              </w:rPr>
            </w:pPr>
            <w:r w:rsidRPr="006E4E37">
              <w:rPr>
                <w:rFonts w:asciiTheme="minorHAnsi" w:eastAsia="Arial Unicode MS" w:hAnsiTheme="minorHAnsi" w:cstheme="minorHAnsi"/>
                <w:i/>
                <w:sz w:val="20"/>
                <w:szCs w:val="20"/>
              </w:rPr>
              <w:t>Whānau</w:t>
            </w:r>
          </w:p>
        </w:tc>
        <w:tc>
          <w:tcPr>
            <w:tcW w:w="2977" w:type="dxa"/>
          </w:tcPr>
          <w:p w:rsidR="009005AA" w:rsidRPr="006E4E37" w:rsidRDefault="009005AA" w:rsidP="00BC0B44">
            <w:pPr>
              <w:spacing w:before="120" w:after="120"/>
              <w:rPr>
                <w:rFonts w:asciiTheme="minorHAnsi" w:eastAsia="Arial Unicode MS" w:hAnsiTheme="minorHAnsi" w:cstheme="minorHAnsi"/>
                <w:sz w:val="20"/>
                <w:szCs w:val="20"/>
              </w:rPr>
            </w:pPr>
            <w:r w:rsidRPr="006E4E37">
              <w:rPr>
                <w:rFonts w:asciiTheme="minorHAnsi" w:eastAsia="Arial Unicode MS" w:hAnsiTheme="minorHAnsi" w:cstheme="minorHAnsi"/>
                <w:sz w:val="20"/>
                <w:szCs w:val="20"/>
              </w:rPr>
              <w:t>Family</w:t>
            </w:r>
          </w:p>
        </w:tc>
        <w:tc>
          <w:tcPr>
            <w:tcW w:w="992" w:type="dxa"/>
          </w:tcPr>
          <w:p w:rsidR="009005AA" w:rsidRPr="00B3404D" w:rsidRDefault="009005AA" w:rsidP="00BC0B44">
            <w:pPr>
              <w:spacing w:before="120" w:after="120"/>
              <w:rPr>
                <w:rFonts w:asciiTheme="minorHAnsi" w:eastAsia="Arial Unicode MS" w:hAnsiTheme="minorHAnsi" w:cstheme="minorHAnsi"/>
                <w:i/>
                <w:sz w:val="20"/>
                <w:szCs w:val="20"/>
              </w:rPr>
            </w:pPr>
            <w:r w:rsidRPr="00B3404D">
              <w:rPr>
                <w:rFonts w:asciiTheme="minorHAnsi" w:eastAsia="Arial Unicode MS" w:hAnsiTheme="minorHAnsi" w:cstheme="minorHAnsi"/>
                <w:i/>
                <w:sz w:val="20"/>
                <w:szCs w:val="20"/>
              </w:rPr>
              <w:t>NZGG</w:t>
            </w:r>
          </w:p>
        </w:tc>
        <w:tc>
          <w:tcPr>
            <w:tcW w:w="3686" w:type="dxa"/>
          </w:tcPr>
          <w:p w:rsidR="009005AA" w:rsidRPr="00B3404D" w:rsidRDefault="009005AA" w:rsidP="00BC0B44">
            <w:pPr>
              <w:spacing w:before="120" w:after="120"/>
              <w:rPr>
                <w:rFonts w:asciiTheme="minorHAnsi" w:eastAsia="Arial Unicode MS" w:hAnsiTheme="minorHAnsi" w:cstheme="minorHAnsi"/>
                <w:sz w:val="20"/>
                <w:szCs w:val="20"/>
              </w:rPr>
            </w:pPr>
            <w:r w:rsidRPr="00B3404D">
              <w:rPr>
                <w:rFonts w:asciiTheme="minorHAnsi" w:eastAsia="Arial Unicode MS" w:hAnsiTheme="minorHAnsi" w:cstheme="minorHAnsi"/>
                <w:sz w:val="20"/>
                <w:szCs w:val="20"/>
              </w:rPr>
              <w:t>New Zealand Guidelines Group</w:t>
            </w:r>
          </w:p>
        </w:tc>
      </w:tr>
      <w:tr w:rsidR="009005AA" w:rsidRPr="006E4E37" w:rsidTr="00B91DEA">
        <w:tc>
          <w:tcPr>
            <w:tcW w:w="4219" w:type="dxa"/>
            <w:gridSpan w:val="2"/>
          </w:tcPr>
          <w:p w:rsidR="009005AA" w:rsidRPr="006E4E37" w:rsidRDefault="009005AA" w:rsidP="006E4E37">
            <w:pPr>
              <w:spacing w:before="120" w:after="120"/>
              <w:rPr>
                <w:rFonts w:asciiTheme="minorHAnsi" w:eastAsia="Arial Unicode MS" w:hAnsiTheme="minorHAnsi" w:cstheme="minorHAnsi"/>
                <w:sz w:val="20"/>
                <w:szCs w:val="20"/>
              </w:rPr>
            </w:pPr>
            <w:r>
              <w:rPr>
                <w:rFonts w:asciiTheme="minorHAnsi" w:eastAsia="Arial Unicode MS" w:hAnsiTheme="minorHAnsi" w:cstheme="minorHAnsi"/>
                <w:b/>
                <w:sz w:val="22"/>
                <w:szCs w:val="22"/>
              </w:rPr>
              <w:t>GENERAL TERMS</w:t>
            </w:r>
          </w:p>
        </w:tc>
        <w:tc>
          <w:tcPr>
            <w:tcW w:w="992" w:type="dxa"/>
          </w:tcPr>
          <w:p w:rsidR="009005AA" w:rsidRPr="00B3404D" w:rsidRDefault="009005AA" w:rsidP="00BC0B44">
            <w:pPr>
              <w:spacing w:before="120" w:after="120"/>
              <w:rPr>
                <w:rFonts w:asciiTheme="minorHAnsi" w:eastAsia="Arial Unicode MS" w:hAnsiTheme="minorHAnsi" w:cstheme="minorHAnsi"/>
                <w:i/>
                <w:sz w:val="20"/>
                <w:szCs w:val="20"/>
              </w:rPr>
            </w:pPr>
            <w:r w:rsidRPr="00B3404D">
              <w:rPr>
                <w:rFonts w:asciiTheme="minorHAnsi" w:eastAsia="Arial Unicode MS" w:hAnsiTheme="minorHAnsi" w:cstheme="minorHAnsi"/>
                <w:i/>
                <w:sz w:val="20"/>
                <w:szCs w:val="20"/>
              </w:rPr>
              <w:t>PHOs</w:t>
            </w:r>
          </w:p>
        </w:tc>
        <w:tc>
          <w:tcPr>
            <w:tcW w:w="3686" w:type="dxa"/>
          </w:tcPr>
          <w:p w:rsidR="009005AA" w:rsidRPr="00B3404D" w:rsidRDefault="009005AA" w:rsidP="00BC0B44">
            <w:pPr>
              <w:spacing w:before="120" w:after="120"/>
              <w:rPr>
                <w:rFonts w:asciiTheme="minorHAnsi" w:eastAsia="Arial Unicode MS" w:hAnsiTheme="minorHAnsi" w:cstheme="minorHAnsi"/>
                <w:sz w:val="20"/>
                <w:szCs w:val="20"/>
              </w:rPr>
            </w:pPr>
            <w:r w:rsidRPr="00B3404D">
              <w:rPr>
                <w:rFonts w:asciiTheme="minorHAnsi" w:eastAsia="Arial Unicode MS" w:hAnsiTheme="minorHAnsi" w:cstheme="minorHAnsi"/>
                <w:sz w:val="20"/>
                <w:szCs w:val="20"/>
              </w:rPr>
              <w:t>Primary Health Organisations</w:t>
            </w:r>
          </w:p>
        </w:tc>
      </w:tr>
      <w:tr w:rsidR="009005AA" w:rsidRPr="006E4E37" w:rsidTr="00B91DEA">
        <w:tc>
          <w:tcPr>
            <w:tcW w:w="1242" w:type="dxa"/>
          </w:tcPr>
          <w:p w:rsidR="009005AA" w:rsidRPr="00CE2245" w:rsidRDefault="009005AA" w:rsidP="00BC0B44">
            <w:pPr>
              <w:spacing w:before="120" w:after="120"/>
              <w:rPr>
                <w:rFonts w:asciiTheme="minorHAnsi" w:eastAsia="Arial Unicode MS" w:hAnsiTheme="minorHAnsi" w:cstheme="minorHAnsi"/>
                <w:i/>
                <w:sz w:val="20"/>
                <w:szCs w:val="20"/>
              </w:rPr>
            </w:pPr>
            <w:r w:rsidRPr="00CE2245">
              <w:rPr>
                <w:rFonts w:asciiTheme="minorHAnsi" w:eastAsia="Arial Unicode MS" w:hAnsiTheme="minorHAnsi" w:cstheme="minorHAnsi"/>
                <w:i/>
                <w:sz w:val="20"/>
                <w:szCs w:val="20"/>
              </w:rPr>
              <w:t>Oral health practitioner</w:t>
            </w:r>
          </w:p>
        </w:tc>
        <w:tc>
          <w:tcPr>
            <w:tcW w:w="2977" w:type="dxa"/>
          </w:tcPr>
          <w:p w:rsidR="009005AA" w:rsidRPr="00CE2245" w:rsidRDefault="00B91DEA" w:rsidP="00BC0B44">
            <w:pPr>
              <w:spacing w:before="120" w:after="120"/>
              <w:rPr>
                <w:rFonts w:asciiTheme="minorHAnsi" w:eastAsia="Arial Unicode MS" w:hAnsiTheme="minorHAnsi" w:cstheme="minorHAnsi"/>
                <w:sz w:val="20"/>
                <w:szCs w:val="20"/>
              </w:rPr>
            </w:pPr>
            <w:r>
              <w:rPr>
                <w:rFonts w:asciiTheme="minorHAnsi" w:eastAsia="Arial Unicode MS" w:hAnsiTheme="minorHAnsi" w:cstheme="minorHAnsi"/>
                <w:sz w:val="20"/>
                <w:szCs w:val="20"/>
              </w:rPr>
              <w:t>Dentist, Dental Therapist</w:t>
            </w:r>
            <w:r w:rsidR="009005AA" w:rsidRPr="00CE2245">
              <w:rPr>
                <w:rFonts w:asciiTheme="minorHAnsi" w:eastAsia="Arial Unicode MS" w:hAnsiTheme="minorHAnsi" w:cstheme="minorHAnsi"/>
                <w:sz w:val="20"/>
                <w:szCs w:val="20"/>
              </w:rPr>
              <w:t xml:space="preserve"> </w:t>
            </w:r>
          </w:p>
        </w:tc>
        <w:tc>
          <w:tcPr>
            <w:tcW w:w="992" w:type="dxa"/>
          </w:tcPr>
          <w:p w:rsidR="009005AA" w:rsidRPr="00B3404D" w:rsidRDefault="009005AA" w:rsidP="00BC0B44">
            <w:pPr>
              <w:spacing w:before="120" w:after="120"/>
              <w:rPr>
                <w:rFonts w:asciiTheme="minorHAnsi" w:eastAsia="Arial Unicode MS" w:hAnsiTheme="minorHAnsi" w:cstheme="minorHAnsi"/>
                <w:i/>
                <w:sz w:val="20"/>
                <w:szCs w:val="20"/>
              </w:rPr>
            </w:pPr>
            <w:r w:rsidRPr="00B3404D">
              <w:rPr>
                <w:rFonts w:asciiTheme="minorHAnsi" w:eastAsia="Arial Unicode MS" w:hAnsiTheme="minorHAnsi" w:cstheme="minorHAnsi"/>
                <w:i/>
                <w:sz w:val="20"/>
                <w:szCs w:val="20"/>
              </w:rPr>
              <w:t>PMIS</w:t>
            </w:r>
          </w:p>
        </w:tc>
        <w:tc>
          <w:tcPr>
            <w:tcW w:w="3686" w:type="dxa"/>
          </w:tcPr>
          <w:p w:rsidR="009005AA" w:rsidRPr="00B3404D" w:rsidRDefault="009005AA" w:rsidP="00BC0B44">
            <w:pPr>
              <w:spacing w:before="120" w:after="120"/>
              <w:rPr>
                <w:rFonts w:asciiTheme="minorHAnsi" w:eastAsia="Arial Unicode MS" w:hAnsiTheme="minorHAnsi" w:cstheme="minorHAnsi"/>
                <w:sz w:val="20"/>
                <w:szCs w:val="20"/>
              </w:rPr>
            </w:pPr>
            <w:r w:rsidRPr="00B3404D">
              <w:rPr>
                <w:rFonts w:asciiTheme="minorHAnsi" w:eastAsia="Arial Unicode MS" w:hAnsiTheme="minorHAnsi" w:cstheme="minorHAnsi"/>
                <w:sz w:val="20"/>
                <w:szCs w:val="20"/>
              </w:rPr>
              <w:t>Patient Management Information System</w:t>
            </w:r>
          </w:p>
        </w:tc>
      </w:tr>
      <w:tr w:rsidR="009005AA" w:rsidRPr="006E4E37" w:rsidTr="00B91DEA">
        <w:tc>
          <w:tcPr>
            <w:tcW w:w="1242" w:type="dxa"/>
          </w:tcPr>
          <w:p w:rsidR="009005AA" w:rsidRPr="00CE2245" w:rsidRDefault="009005AA" w:rsidP="00BC0B44">
            <w:pPr>
              <w:spacing w:before="120" w:after="120"/>
              <w:rPr>
                <w:rFonts w:asciiTheme="minorHAnsi" w:eastAsia="Arial Unicode MS" w:hAnsiTheme="minorHAnsi" w:cstheme="minorHAnsi"/>
                <w:i/>
                <w:sz w:val="20"/>
                <w:szCs w:val="20"/>
              </w:rPr>
            </w:pPr>
            <w:r w:rsidRPr="00CE2245">
              <w:rPr>
                <w:rFonts w:asciiTheme="minorHAnsi" w:eastAsia="Arial Unicode MS" w:hAnsiTheme="minorHAnsi" w:cstheme="minorHAnsi"/>
                <w:i/>
                <w:sz w:val="20"/>
                <w:szCs w:val="20"/>
              </w:rPr>
              <w:t>Primary care practitioner</w:t>
            </w:r>
          </w:p>
        </w:tc>
        <w:tc>
          <w:tcPr>
            <w:tcW w:w="2977" w:type="dxa"/>
          </w:tcPr>
          <w:p w:rsidR="009005AA" w:rsidRPr="00CE2245" w:rsidRDefault="009005AA" w:rsidP="00BC0B44">
            <w:pPr>
              <w:spacing w:before="120" w:after="120"/>
              <w:rPr>
                <w:rFonts w:asciiTheme="minorHAnsi" w:eastAsia="Arial Unicode MS" w:hAnsiTheme="minorHAnsi" w:cstheme="minorHAnsi"/>
                <w:sz w:val="20"/>
                <w:szCs w:val="20"/>
              </w:rPr>
            </w:pPr>
            <w:r w:rsidRPr="00CE2245">
              <w:rPr>
                <w:rFonts w:asciiTheme="minorHAnsi" w:eastAsia="Arial Unicode MS" w:hAnsiTheme="minorHAnsi" w:cstheme="minorHAnsi"/>
                <w:sz w:val="20"/>
                <w:szCs w:val="20"/>
              </w:rPr>
              <w:t>General Practitioner, Nurse Practitioner, Primary Care nurse</w:t>
            </w:r>
          </w:p>
        </w:tc>
        <w:tc>
          <w:tcPr>
            <w:tcW w:w="992" w:type="dxa"/>
          </w:tcPr>
          <w:p w:rsidR="009005AA" w:rsidRPr="00B3404D" w:rsidRDefault="009005AA" w:rsidP="00BC0B44">
            <w:pPr>
              <w:spacing w:before="120" w:after="120"/>
              <w:rPr>
                <w:rFonts w:asciiTheme="minorHAnsi" w:eastAsia="Arial Unicode MS" w:hAnsiTheme="minorHAnsi" w:cstheme="minorHAnsi"/>
                <w:i/>
                <w:sz w:val="20"/>
                <w:szCs w:val="20"/>
              </w:rPr>
            </w:pPr>
            <w:r w:rsidRPr="00B3404D">
              <w:rPr>
                <w:rFonts w:asciiTheme="minorHAnsi" w:eastAsia="Arial Unicode MS" w:hAnsiTheme="minorHAnsi" w:cstheme="minorHAnsi"/>
                <w:i/>
                <w:sz w:val="20"/>
                <w:szCs w:val="20"/>
              </w:rPr>
              <w:t>QIG</w:t>
            </w:r>
          </w:p>
        </w:tc>
        <w:tc>
          <w:tcPr>
            <w:tcW w:w="3686" w:type="dxa"/>
          </w:tcPr>
          <w:p w:rsidR="009005AA" w:rsidRPr="00B3404D" w:rsidRDefault="009005AA" w:rsidP="00BC0B44">
            <w:pPr>
              <w:spacing w:before="120" w:after="120"/>
              <w:rPr>
                <w:rFonts w:asciiTheme="minorHAnsi" w:eastAsia="Arial Unicode MS" w:hAnsiTheme="minorHAnsi" w:cstheme="minorHAnsi"/>
                <w:sz w:val="20"/>
                <w:szCs w:val="20"/>
              </w:rPr>
            </w:pPr>
            <w:r w:rsidRPr="00B3404D">
              <w:rPr>
                <w:rFonts w:asciiTheme="minorHAnsi" w:eastAsia="Arial Unicode MS" w:hAnsiTheme="minorHAnsi" w:cstheme="minorHAnsi"/>
                <w:sz w:val="20"/>
                <w:szCs w:val="20"/>
              </w:rPr>
              <w:t>Quality Improvement Group for Māori Oral Health Providers</w:t>
            </w:r>
          </w:p>
        </w:tc>
      </w:tr>
      <w:tr w:rsidR="009005AA" w:rsidRPr="006E4E37" w:rsidTr="00B91DEA">
        <w:tc>
          <w:tcPr>
            <w:tcW w:w="1242" w:type="dxa"/>
          </w:tcPr>
          <w:p w:rsidR="009005AA" w:rsidRPr="00CE2245" w:rsidRDefault="009005AA" w:rsidP="00BC0B44">
            <w:pPr>
              <w:spacing w:before="120" w:after="120"/>
              <w:rPr>
                <w:rFonts w:asciiTheme="minorHAnsi" w:eastAsia="Arial Unicode MS" w:hAnsiTheme="minorHAnsi" w:cstheme="minorHAnsi"/>
                <w:i/>
                <w:sz w:val="20"/>
                <w:szCs w:val="20"/>
              </w:rPr>
            </w:pPr>
            <w:r w:rsidRPr="00CE2245">
              <w:rPr>
                <w:rFonts w:asciiTheme="minorHAnsi" w:eastAsia="Arial Unicode MS" w:hAnsiTheme="minorHAnsi" w:cstheme="minorHAnsi"/>
                <w:i/>
                <w:sz w:val="20"/>
                <w:szCs w:val="20"/>
              </w:rPr>
              <w:t>Primary health care practitioner</w:t>
            </w:r>
          </w:p>
        </w:tc>
        <w:tc>
          <w:tcPr>
            <w:tcW w:w="2977" w:type="dxa"/>
          </w:tcPr>
          <w:p w:rsidR="009005AA" w:rsidRPr="00CE2245" w:rsidRDefault="009005AA" w:rsidP="00BC0B44">
            <w:pPr>
              <w:spacing w:before="120" w:after="120"/>
              <w:rPr>
                <w:rFonts w:asciiTheme="minorHAnsi" w:eastAsia="Arial Unicode MS" w:hAnsiTheme="minorHAnsi" w:cstheme="minorHAnsi"/>
                <w:sz w:val="20"/>
                <w:szCs w:val="20"/>
              </w:rPr>
            </w:pPr>
            <w:r w:rsidRPr="00CE2245">
              <w:rPr>
                <w:rFonts w:asciiTheme="minorHAnsi" w:eastAsia="Arial Unicode MS" w:hAnsiTheme="minorHAnsi" w:cstheme="minorHAnsi"/>
                <w:sz w:val="20"/>
                <w:szCs w:val="20"/>
              </w:rPr>
              <w:t>General Practitioner, Nurse Practitioner, Primary Care nurse, smoking cessation advisor, health promotion coordinator, Tamariki Ora Well Child nurses, and other community based health workers</w:t>
            </w:r>
          </w:p>
        </w:tc>
        <w:tc>
          <w:tcPr>
            <w:tcW w:w="992" w:type="dxa"/>
          </w:tcPr>
          <w:p w:rsidR="009005AA" w:rsidRPr="00B3404D" w:rsidRDefault="009005AA" w:rsidP="00BC0B44">
            <w:pPr>
              <w:spacing w:before="120" w:after="120"/>
              <w:rPr>
                <w:rFonts w:asciiTheme="minorHAnsi" w:eastAsia="Arial Unicode MS" w:hAnsiTheme="minorHAnsi" w:cstheme="minorHAnsi"/>
                <w:i/>
                <w:sz w:val="20"/>
                <w:szCs w:val="20"/>
              </w:rPr>
            </w:pPr>
            <w:r w:rsidRPr="00B3404D">
              <w:rPr>
                <w:rFonts w:asciiTheme="minorHAnsi" w:eastAsia="Arial Unicode MS" w:hAnsiTheme="minorHAnsi" w:cstheme="minorHAnsi"/>
                <w:i/>
                <w:sz w:val="20"/>
                <w:szCs w:val="20"/>
              </w:rPr>
              <w:t>WCTO</w:t>
            </w:r>
          </w:p>
        </w:tc>
        <w:tc>
          <w:tcPr>
            <w:tcW w:w="3686" w:type="dxa"/>
          </w:tcPr>
          <w:p w:rsidR="009005AA" w:rsidRPr="00B3404D" w:rsidRDefault="009005AA" w:rsidP="00BC0B44">
            <w:pPr>
              <w:spacing w:before="120" w:after="120"/>
              <w:rPr>
                <w:rFonts w:asciiTheme="minorHAnsi" w:eastAsia="Arial Unicode MS" w:hAnsiTheme="minorHAnsi" w:cstheme="minorHAnsi"/>
                <w:sz w:val="20"/>
                <w:szCs w:val="20"/>
              </w:rPr>
            </w:pPr>
            <w:r w:rsidRPr="00B3404D">
              <w:rPr>
                <w:rFonts w:asciiTheme="minorHAnsi" w:eastAsia="Arial Unicode MS" w:hAnsiTheme="minorHAnsi" w:cstheme="minorHAnsi"/>
                <w:sz w:val="20"/>
                <w:szCs w:val="20"/>
              </w:rPr>
              <w:t>Well Child Tamariki Ora – a nationwide publicly funded child health programme</w:t>
            </w:r>
          </w:p>
        </w:tc>
      </w:tr>
    </w:tbl>
    <w:p w:rsidR="0017504A" w:rsidRDefault="0017504A">
      <w:pPr>
        <w:pStyle w:val="Default"/>
        <w:jc w:val="both"/>
        <w:rPr>
          <w:rFonts w:ascii="Times New Roman" w:eastAsia="Arial Unicode MS" w:hAnsi="Times New Roman"/>
          <w:bCs/>
          <w:color w:val="auto"/>
        </w:rPr>
      </w:pPr>
    </w:p>
    <w:p w:rsidR="00C83426" w:rsidRDefault="00C83426" w:rsidP="0036356E">
      <w:pPr>
        <w:pStyle w:val="Heading1"/>
        <w:sectPr w:rsidR="00C83426" w:rsidSect="00B3404D">
          <w:headerReference w:type="even" r:id="rId11"/>
          <w:headerReference w:type="default" r:id="rId12"/>
          <w:footerReference w:type="even" r:id="rId13"/>
          <w:footerReference w:type="default" r:id="rId14"/>
          <w:headerReference w:type="first" r:id="rId15"/>
          <w:pgSz w:w="11906" w:h="16838" w:code="9"/>
          <w:pgMar w:top="1440" w:right="1274" w:bottom="1440" w:left="1797" w:header="709" w:footer="709" w:gutter="0"/>
          <w:pgNumType w:fmt="lowerRoman"/>
          <w:cols w:space="708"/>
          <w:docGrid w:linePitch="360"/>
        </w:sectPr>
      </w:pPr>
    </w:p>
    <w:p w:rsidR="0017504A" w:rsidRPr="00E125FC" w:rsidRDefault="002D45D4" w:rsidP="0036356E">
      <w:pPr>
        <w:pStyle w:val="Heading1"/>
      </w:pPr>
      <w:bookmarkStart w:id="12" w:name="_Toc473485914"/>
      <w:r w:rsidRPr="00E125FC">
        <w:lastRenderedPageBreak/>
        <w:t>INTRODUCTION</w:t>
      </w:r>
      <w:bookmarkEnd w:id="12"/>
    </w:p>
    <w:bookmarkEnd w:id="10"/>
    <w:p w:rsidR="00E125FC" w:rsidRDefault="002D45D4" w:rsidP="00182697">
      <w:pPr>
        <w:spacing w:before="120" w:after="120"/>
        <w:jc w:val="both"/>
        <w:rPr>
          <w:rFonts w:asciiTheme="minorHAnsi" w:eastAsia="Arial Unicode MS" w:hAnsiTheme="minorHAnsi" w:cstheme="minorHAnsi"/>
          <w:sz w:val="22"/>
          <w:szCs w:val="22"/>
        </w:rPr>
      </w:pPr>
      <w:r w:rsidRPr="00E125FC">
        <w:rPr>
          <w:rFonts w:asciiTheme="minorHAnsi" w:eastAsia="Arial Unicode MS" w:hAnsiTheme="minorHAnsi" w:cstheme="minorHAnsi"/>
          <w:sz w:val="22"/>
          <w:szCs w:val="22"/>
        </w:rPr>
        <w:t xml:space="preserve">Oral health and primary care </w:t>
      </w:r>
      <w:r w:rsidR="0014592E" w:rsidRPr="00E125FC">
        <w:rPr>
          <w:rFonts w:asciiTheme="minorHAnsi" w:eastAsia="Arial Unicode MS" w:hAnsiTheme="minorHAnsi" w:cstheme="minorHAnsi"/>
          <w:sz w:val="22"/>
          <w:szCs w:val="22"/>
        </w:rPr>
        <w:t>practitioners have very specialised</w:t>
      </w:r>
      <w:r w:rsidRPr="00E125FC">
        <w:rPr>
          <w:rFonts w:asciiTheme="minorHAnsi" w:eastAsia="Arial Unicode MS" w:hAnsiTheme="minorHAnsi" w:cstheme="minorHAnsi"/>
          <w:sz w:val="22"/>
          <w:szCs w:val="22"/>
        </w:rPr>
        <w:t xml:space="preserve"> training</w:t>
      </w:r>
      <w:r w:rsidR="00BA1B33" w:rsidRPr="00E125FC">
        <w:rPr>
          <w:rFonts w:asciiTheme="minorHAnsi" w:eastAsia="Arial Unicode MS" w:hAnsiTheme="minorHAnsi" w:cstheme="minorHAnsi"/>
          <w:sz w:val="22"/>
          <w:szCs w:val="22"/>
        </w:rPr>
        <w:t xml:space="preserve"> and their work is often restricted to</w:t>
      </w:r>
      <w:r w:rsidRPr="00E125FC">
        <w:rPr>
          <w:rFonts w:asciiTheme="minorHAnsi" w:eastAsia="Arial Unicode MS" w:hAnsiTheme="minorHAnsi" w:cstheme="minorHAnsi"/>
          <w:sz w:val="22"/>
          <w:szCs w:val="22"/>
        </w:rPr>
        <w:t xml:space="preserve"> </w:t>
      </w:r>
      <w:r w:rsidR="0014592E" w:rsidRPr="00E125FC">
        <w:rPr>
          <w:rFonts w:asciiTheme="minorHAnsi" w:eastAsia="Arial Unicode MS" w:hAnsiTheme="minorHAnsi" w:cstheme="minorHAnsi"/>
          <w:sz w:val="22"/>
          <w:szCs w:val="22"/>
        </w:rPr>
        <w:t>a specific</w:t>
      </w:r>
      <w:r w:rsidR="0017504A" w:rsidRPr="00E125FC">
        <w:rPr>
          <w:rFonts w:asciiTheme="minorHAnsi" w:eastAsia="Arial Unicode MS" w:hAnsiTheme="minorHAnsi" w:cstheme="minorHAnsi"/>
          <w:sz w:val="22"/>
          <w:szCs w:val="22"/>
        </w:rPr>
        <w:t xml:space="preserve"> scope </w:t>
      </w:r>
      <w:r w:rsidR="0014592E" w:rsidRPr="00E125FC">
        <w:rPr>
          <w:rFonts w:asciiTheme="minorHAnsi" w:eastAsia="Arial Unicode MS" w:hAnsiTheme="minorHAnsi" w:cstheme="minorHAnsi"/>
          <w:sz w:val="22"/>
          <w:szCs w:val="22"/>
        </w:rPr>
        <w:t>within their</w:t>
      </w:r>
      <w:r w:rsidR="0017504A" w:rsidRPr="00E125FC">
        <w:rPr>
          <w:rFonts w:asciiTheme="minorHAnsi" w:eastAsia="Arial Unicode MS" w:hAnsiTheme="minorHAnsi" w:cstheme="minorHAnsi"/>
          <w:sz w:val="22"/>
          <w:szCs w:val="22"/>
        </w:rPr>
        <w:t xml:space="preserve"> </w:t>
      </w:r>
      <w:r w:rsidR="0014592E" w:rsidRPr="00E125FC">
        <w:rPr>
          <w:rFonts w:asciiTheme="minorHAnsi" w:eastAsia="Arial Unicode MS" w:hAnsiTheme="minorHAnsi" w:cstheme="minorHAnsi"/>
          <w:sz w:val="22"/>
          <w:szCs w:val="22"/>
        </w:rPr>
        <w:t>area</w:t>
      </w:r>
      <w:r w:rsidR="000163CB" w:rsidRPr="00E125FC">
        <w:rPr>
          <w:rFonts w:asciiTheme="minorHAnsi" w:eastAsia="Arial Unicode MS" w:hAnsiTheme="minorHAnsi" w:cstheme="minorHAnsi"/>
          <w:sz w:val="22"/>
          <w:szCs w:val="22"/>
        </w:rPr>
        <w:t xml:space="preserve"> of expertise.</w:t>
      </w:r>
      <w:r w:rsidRPr="00E125FC">
        <w:rPr>
          <w:rFonts w:asciiTheme="minorHAnsi" w:eastAsia="Arial Unicode MS" w:hAnsiTheme="minorHAnsi" w:cstheme="minorHAnsi"/>
          <w:sz w:val="22"/>
          <w:szCs w:val="22"/>
        </w:rPr>
        <w:t xml:space="preserve"> Integrating oral and primary care practices </w:t>
      </w:r>
      <w:r w:rsidR="00BA1B33" w:rsidRPr="00E125FC">
        <w:rPr>
          <w:rFonts w:asciiTheme="minorHAnsi" w:eastAsia="Arial Unicode MS" w:hAnsiTheme="minorHAnsi" w:cstheme="minorHAnsi"/>
          <w:sz w:val="22"/>
          <w:szCs w:val="22"/>
        </w:rPr>
        <w:t xml:space="preserve">can </w:t>
      </w:r>
      <w:r w:rsidRPr="00E125FC">
        <w:rPr>
          <w:rFonts w:asciiTheme="minorHAnsi" w:eastAsia="Arial Unicode MS" w:hAnsiTheme="minorHAnsi" w:cstheme="minorHAnsi"/>
          <w:sz w:val="22"/>
          <w:szCs w:val="22"/>
        </w:rPr>
        <w:t xml:space="preserve">maximise opportunities to improve clinical decision making and patient care pathways beyond these individual areas of </w:t>
      </w:r>
      <w:r w:rsidR="004972BE" w:rsidRPr="00E125FC">
        <w:rPr>
          <w:rFonts w:asciiTheme="minorHAnsi" w:eastAsia="Arial Unicode MS" w:hAnsiTheme="minorHAnsi" w:cstheme="minorHAnsi"/>
          <w:sz w:val="22"/>
          <w:szCs w:val="22"/>
        </w:rPr>
        <w:t xml:space="preserve">expertise and, ultimately, improve </w:t>
      </w:r>
      <w:r w:rsidR="006103CE" w:rsidRPr="00E125FC">
        <w:rPr>
          <w:rFonts w:asciiTheme="minorHAnsi" w:eastAsia="Arial Unicode MS" w:hAnsiTheme="minorHAnsi" w:cstheme="minorHAnsi"/>
          <w:sz w:val="22"/>
          <w:szCs w:val="22"/>
        </w:rPr>
        <w:t xml:space="preserve">patient </w:t>
      </w:r>
      <w:r w:rsidR="004972BE" w:rsidRPr="00E125FC">
        <w:rPr>
          <w:rFonts w:asciiTheme="minorHAnsi" w:eastAsia="Arial Unicode MS" w:hAnsiTheme="minorHAnsi" w:cstheme="minorHAnsi"/>
          <w:sz w:val="22"/>
          <w:szCs w:val="22"/>
        </w:rPr>
        <w:t>health outcomes</w:t>
      </w:r>
      <w:r w:rsidRPr="00E125FC">
        <w:rPr>
          <w:rFonts w:asciiTheme="minorHAnsi" w:eastAsia="Arial Unicode MS" w:hAnsiTheme="minorHAnsi" w:cstheme="minorHAnsi"/>
          <w:sz w:val="22"/>
          <w:szCs w:val="22"/>
        </w:rPr>
        <w:t xml:space="preserve">. </w:t>
      </w:r>
    </w:p>
    <w:p w:rsidR="00E125FC" w:rsidRPr="00BD2B26" w:rsidRDefault="00634C22" w:rsidP="00B34C30">
      <w:pPr>
        <w:pStyle w:val="generalaimheading"/>
      </w:pPr>
      <w:r>
        <mc:AlternateContent>
          <mc:Choice Requires="wps">
            <w:drawing>
              <wp:anchor distT="0" distB="0" distL="114300" distR="114300" simplePos="0" relativeHeight="251661312" behindDoc="0" locked="0" layoutInCell="1" allowOverlap="1">
                <wp:simplePos x="0" y="0"/>
                <wp:positionH relativeFrom="column">
                  <wp:posOffset>-8890</wp:posOffset>
                </wp:positionH>
                <wp:positionV relativeFrom="paragraph">
                  <wp:posOffset>372110</wp:posOffset>
                </wp:positionV>
                <wp:extent cx="5658485" cy="819150"/>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8485" cy="819150"/>
                        </a:xfrm>
                        <a:prstGeom prst="rect">
                          <a:avLst/>
                        </a:prstGeom>
                        <a:solidFill>
                          <a:srgbClr val="42D0B8">
                            <a:alpha val="10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000E8C" id="Rectangle 8" o:spid="_x0000_s1026" style="position:absolute;margin-left:-.7pt;margin-top:29.3pt;width:445.55pt;height: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" fillcolor="#42d0b8" stroked="f" strokeweight="2pt">
                <v:fill opacity="6682f"/>
                <v:path arrowok="t"/>
              </v:rect>
            </w:pict>
          </mc:Fallback>
        </mc:AlternateContent>
      </w:r>
      <w:r>
        <mc:AlternateContent>
          <mc:Choice Requires="wps">
            <w:drawing>
              <wp:anchor distT="0" distB="0" distL="114300" distR="114300" simplePos="0" relativeHeight="251659264" behindDoc="1" locked="0" layoutInCell="1" allowOverlap="1">
                <wp:simplePos x="0" y="0"/>
                <wp:positionH relativeFrom="column">
                  <wp:posOffset>-28575</wp:posOffset>
                </wp:positionH>
                <wp:positionV relativeFrom="paragraph">
                  <wp:posOffset>121285</wp:posOffset>
                </wp:positionV>
                <wp:extent cx="5659120" cy="249555"/>
                <wp:effectExtent l="0" t="0" r="0" b="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9120" cy="249555"/>
                        </a:xfrm>
                        <a:prstGeom prst="rect">
                          <a:avLst/>
                        </a:prstGeom>
                        <a:solidFill>
                          <a:srgbClr val="42D0B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543B50" id="Rectangle 4" o:spid="_x0000_s1026" style="position:absolute;margin-left:-2.25pt;margin-top:9.55pt;width:445.6pt;height:19.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" fillcolor="#42d0b8" stroked="f" strokeweight="2pt">
                <v:path arrowok="t"/>
              </v:rect>
            </w:pict>
          </mc:Fallback>
        </mc:AlternateContent>
      </w:r>
      <w:r w:rsidR="00182697" w:rsidRPr="00BD2B26">
        <w:t>AIM</w:t>
      </w:r>
    </w:p>
    <w:p w:rsidR="00E125FC" w:rsidRPr="00E125FC" w:rsidRDefault="00E125FC" w:rsidP="00BD2B26">
      <w:pPr>
        <w:pStyle w:val="generalaimtext"/>
      </w:pPr>
      <w:r w:rsidRPr="00E125FC">
        <w:t xml:space="preserve">Integrated Practice Guidelines will assist Māori oral health providers and primary health care professionals to maximise opportunities for patients to get the right information and the right care, at the right time; resulting in improved access to oral and primary health care services, clinical decision making, and better patient experience.    </w:t>
      </w:r>
    </w:p>
    <w:p w:rsidR="0008344E" w:rsidRPr="00BD123A" w:rsidRDefault="0008344E" w:rsidP="00BD123A"/>
    <w:p w:rsidR="0017504A" w:rsidRPr="00220F11" w:rsidRDefault="00D57B50" w:rsidP="00DA6437">
      <w:pPr>
        <w:pStyle w:val="generalsubheading"/>
      </w:pPr>
      <w:bookmarkStart w:id="13" w:name="_Toc473485915"/>
      <w:r w:rsidRPr="00220F11">
        <w:t>ABOUT THE GUIDELINES</w:t>
      </w:r>
      <w:bookmarkEnd w:id="13"/>
    </w:p>
    <w:p w:rsidR="002360F9" w:rsidRPr="006E4E37" w:rsidRDefault="002D45D4" w:rsidP="00C37D18">
      <w:pPr>
        <w:pStyle w:val="generalparagraph"/>
      </w:pPr>
      <w:r w:rsidRPr="006E4E37">
        <w:t>In June 2012, a literature review was completed on oral and general health integrated practices in the primary care setting</w:t>
      </w:r>
      <w:r w:rsidR="00201F20">
        <w:t xml:space="preserve"> (NMOHCS</w:t>
      </w:r>
      <w:r w:rsidR="007C144F" w:rsidRPr="006E4E37">
        <w:t>, 2012)</w:t>
      </w:r>
      <w:r w:rsidR="000163CB" w:rsidRPr="006E4E37">
        <w:t>.</w:t>
      </w:r>
      <w:r w:rsidRPr="006E4E37">
        <w:t xml:space="preserve"> The review identified four main areas where integrated pract</w:t>
      </w:r>
      <w:r w:rsidR="007C144F" w:rsidRPr="006E4E37">
        <w:t>ices could happen</w:t>
      </w:r>
      <w:r w:rsidR="000163CB" w:rsidRPr="006E4E37">
        <w:t>.</w:t>
      </w:r>
      <w:r w:rsidRPr="006E4E37">
        <w:t xml:space="preserve"> These areas are: </w:t>
      </w:r>
    </w:p>
    <w:p w:rsidR="0017504A" w:rsidRPr="00201F20" w:rsidRDefault="00647223" w:rsidP="002D3B17">
      <w:pPr>
        <w:pStyle w:val="ListParagraph"/>
        <w:numPr>
          <w:ilvl w:val="0"/>
          <w:numId w:val="29"/>
        </w:numPr>
        <w:spacing w:line="240" w:lineRule="auto"/>
        <w:jc w:val="both"/>
        <w:rPr>
          <w:rFonts w:asciiTheme="minorHAnsi" w:eastAsia="Arial Unicode MS" w:hAnsiTheme="minorHAnsi" w:cstheme="minorHAnsi"/>
        </w:rPr>
      </w:pPr>
      <w:r w:rsidRPr="00201F20">
        <w:rPr>
          <w:rFonts w:asciiTheme="minorHAnsi" w:eastAsia="Arial Unicode MS" w:hAnsiTheme="minorHAnsi" w:cstheme="minorHAnsi"/>
          <w:b/>
        </w:rPr>
        <w:t>K</w:t>
      </w:r>
      <w:r w:rsidR="00EA7DF1" w:rsidRPr="00201F20">
        <w:rPr>
          <w:rFonts w:asciiTheme="minorHAnsi" w:eastAsia="Arial Unicode MS" w:hAnsiTheme="minorHAnsi" w:cstheme="minorHAnsi"/>
          <w:b/>
        </w:rPr>
        <w:t>nowledge integration</w:t>
      </w:r>
      <w:r w:rsidRPr="00201F20">
        <w:rPr>
          <w:rFonts w:asciiTheme="minorHAnsi" w:eastAsia="Arial Unicode MS" w:hAnsiTheme="minorHAnsi" w:cstheme="minorHAnsi"/>
        </w:rPr>
        <w:t xml:space="preserve">: </w:t>
      </w:r>
      <w:r w:rsidR="002D45D4" w:rsidRPr="00201F20">
        <w:rPr>
          <w:rFonts w:asciiTheme="minorHAnsi" w:eastAsia="Arial Unicode MS" w:hAnsiTheme="minorHAnsi" w:cstheme="minorHAnsi"/>
        </w:rPr>
        <w:t>the management and sharing of information between oral and primary care health practitioners to inform patient decision making</w:t>
      </w:r>
    </w:p>
    <w:p w:rsidR="0017504A" w:rsidRPr="00647223" w:rsidRDefault="0017504A" w:rsidP="00201F20">
      <w:pPr>
        <w:pStyle w:val="ListParagraph"/>
        <w:spacing w:after="0" w:line="240" w:lineRule="auto"/>
        <w:ind w:left="714"/>
        <w:jc w:val="both"/>
        <w:rPr>
          <w:rFonts w:asciiTheme="minorHAnsi" w:eastAsia="Arial Unicode MS" w:hAnsiTheme="minorHAnsi" w:cstheme="minorHAnsi"/>
        </w:rPr>
      </w:pPr>
    </w:p>
    <w:p w:rsidR="0017504A" w:rsidRPr="00647223" w:rsidRDefault="00647223" w:rsidP="002D3B17">
      <w:pPr>
        <w:pStyle w:val="ListParagraph"/>
        <w:numPr>
          <w:ilvl w:val="0"/>
          <w:numId w:val="29"/>
        </w:numPr>
        <w:spacing w:after="0" w:line="240" w:lineRule="auto"/>
        <w:jc w:val="both"/>
        <w:rPr>
          <w:rFonts w:asciiTheme="minorHAnsi" w:eastAsia="Arial Unicode MS" w:hAnsiTheme="minorHAnsi" w:cstheme="minorHAnsi"/>
        </w:rPr>
      </w:pPr>
      <w:r w:rsidRPr="00647223">
        <w:rPr>
          <w:rFonts w:asciiTheme="minorHAnsi" w:eastAsia="Arial Unicode MS" w:hAnsiTheme="minorHAnsi" w:cstheme="minorHAnsi"/>
          <w:b/>
        </w:rPr>
        <w:t>P</w:t>
      </w:r>
      <w:r w:rsidR="00EA7DF1">
        <w:rPr>
          <w:rFonts w:asciiTheme="minorHAnsi" w:eastAsia="Arial Unicode MS" w:hAnsiTheme="minorHAnsi" w:cstheme="minorHAnsi"/>
          <w:b/>
        </w:rPr>
        <w:t>hysical integration</w:t>
      </w:r>
      <w:r w:rsidR="002D45D4" w:rsidRPr="00647223">
        <w:rPr>
          <w:rFonts w:asciiTheme="minorHAnsi" w:eastAsia="Arial Unicode MS" w:hAnsiTheme="minorHAnsi" w:cstheme="minorHAnsi"/>
        </w:rPr>
        <w:t xml:space="preserve">: the co-location of primary care and oral health facilities to improve clinical care pathways and patient accessibility </w:t>
      </w:r>
    </w:p>
    <w:p w:rsidR="0017504A" w:rsidRPr="00647223" w:rsidRDefault="0017504A" w:rsidP="00201F20">
      <w:pPr>
        <w:jc w:val="both"/>
        <w:rPr>
          <w:rFonts w:asciiTheme="minorHAnsi" w:eastAsia="Arial Unicode MS" w:hAnsiTheme="minorHAnsi" w:cstheme="minorHAnsi"/>
          <w:sz w:val="22"/>
          <w:szCs w:val="22"/>
        </w:rPr>
      </w:pPr>
    </w:p>
    <w:p w:rsidR="0017504A" w:rsidRPr="00647223" w:rsidRDefault="00647223" w:rsidP="002D3B17">
      <w:pPr>
        <w:pStyle w:val="ListParagraph"/>
        <w:numPr>
          <w:ilvl w:val="0"/>
          <w:numId w:val="29"/>
        </w:numPr>
        <w:spacing w:after="0" w:line="240" w:lineRule="auto"/>
        <w:jc w:val="both"/>
        <w:rPr>
          <w:rFonts w:asciiTheme="minorHAnsi" w:eastAsia="Arial Unicode MS" w:hAnsiTheme="minorHAnsi" w:cstheme="minorHAnsi"/>
        </w:rPr>
      </w:pPr>
      <w:r w:rsidRPr="00647223">
        <w:rPr>
          <w:rFonts w:asciiTheme="minorHAnsi" w:eastAsia="Arial Unicode MS" w:hAnsiTheme="minorHAnsi" w:cstheme="minorHAnsi"/>
          <w:b/>
        </w:rPr>
        <w:t>S</w:t>
      </w:r>
      <w:r w:rsidR="00EA7DF1">
        <w:rPr>
          <w:rFonts w:asciiTheme="minorHAnsi" w:eastAsia="Arial Unicode MS" w:hAnsiTheme="minorHAnsi" w:cstheme="minorHAnsi"/>
          <w:b/>
        </w:rPr>
        <w:t>ystem integration</w:t>
      </w:r>
      <w:r w:rsidRPr="00647223">
        <w:rPr>
          <w:rFonts w:asciiTheme="minorHAnsi" w:eastAsia="Arial Unicode MS" w:hAnsiTheme="minorHAnsi" w:cstheme="minorHAnsi"/>
        </w:rPr>
        <w:t xml:space="preserve">: </w:t>
      </w:r>
      <w:r w:rsidR="002D45D4" w:rsidRPr="00647223">
        <w:rPr>
          <w:rFonts w:asciiTheme="minorHAnsi" w:eastAsia="Arial Unicode MS" w:hAnsiTheme="minorHAnsi" w:cstheme="minorHAnsi"/>
        </w:rPr>
        <w:t>processes that facilitate integration and appropriate care pathways</w:t>
      </w:r>
    </w:p>
    <w:p w:rsidR="0017504A" w:rsidRPr="00647223" w:rsidRDefault="0017504A" w:rsidP="00201F20">
      <w:pPr>
        <w:jc w:val="both"/>
        <w:rPr>
          <w:rFonts w:asciiTheme="minorHAnsi" w:eastAsia="Arial Unicode MS" w:hAnsiTheme="minorHAnsi" w:cstheme="minorHAnsi"/>
          <w:sz w:val="22"/>
          <w:szCs w:val="22"/>
        </w:rPr>
      </w:pPr>
    </w:p>
    <w:p w:rsidR="0017504A" w:rsidRPr="00647223" w:rsidRDefault="00647223" w:rsidP="002D3B17">
      <w:pPr>
        <w:pStyle w:val="ListParagraph"/>
        <w:numPr>
          <w:ilvl w:val="0"/>
          <w:numId w:val="29"/>
        </w:numPr>
        <w:spacing w:after="0" w:line="240" w:lineRule="auto"/>
        <w:jc w:val="both"/>
        <w:rPr>
          <w:rFonts w:asciiTheme="minorHAnsi" w:eastAsia="Arial Unicode MS" w:hAnsiTheme="minorHAnsi" w:cstheme="minorHAnsi"/>
        </w:rPr>
      </w:pPr>
      <w:r w:rsidRPr="00647223">
        <w:rPr>
          <w:rFonts w:asciiTheme="minorHAnsi" w:eastAsia="Arial Unicode MS" w:hAnsiTheme="minorHAnsi" w:cstheme="minorHAnsi"/>
          <w:b/>
        </w:rPr>
        <w:t>F</w:t>
      </w:r>
      <w:r w:rsidR="00EA7DF1">
        <w:rPr>
          <w:rFonts w:asciiTheme="minorHAnsi" w:eastAsia="Arial Unicode MS" w:hAnsiTheme="minorHAnsi" w:cstheme="minorHAnsi"/>
          <w:b/>
        </w:rPr>
        <w:t>ocus integration</w:t>
      </w:r>
      <w:r w:rsidRPr="00647223">
        <w:rPr>
          <w:rFonts w:asciiTheme="minorHAnsi" w:eastAsia="Arial Unicode MS" w:hAnsiTheme="minorHAnsi" w:cstheme="minorHAnsi"/>
        </w:rPr>
        <w:t xml:space="preserve">: </w:t>
      </w:r>
      <w:r w:rsidR="002D45D4" w:rsidRPr="00647223">
        <w:rPr>
          <w:rFonts w:asciiTheme="minorHAnsi" w:eastAsia="Arial Unicode MS" w:hAnsiTheme="minorHAnsi" w:cstheme="minorHAnsi"/>
        </w:rPr>
        <w:t xml:space="preserve">the shift that needs to occur </w:t>
      </w:r>
      <w:r w:rsidR="007E7B29" w:rsidRPr="00647223">
        <w:rPr>
          <w:rFonts w:asciiTheme="minorHAnsi" w:eastAsia="Arial Unicode MS" w:hAnsiTheme="minorHAnsi" w:cstheme="minorHAnsi"/>
        </w:rPr>
        <w:t>within the</w:t>
      </w:r>
      <w:r w:rsidR="002D45D4" w:rsidRPr="00647223">
        <w:rPr>
          <w:rFonts w:asciiTheme="minorHAnsi" w:eastAsia="Arial Unicode MS" w:hAnsiTheme="minorHAnsi" w:cstheme="minorHAnsi"/>
        </w:rPr>
        <w:t xml:space="preserve"> </w:t>
      </w:r>
      <w:r w:rsidR="00A67A24" w:rsidRPr="00647223">
        <w:rPr>
          <w:rFonts w:asciiTheme="minorHAnsi" w:eastAsia="Arial Unicode MS" w:hAnsiTheme="minorHAnsi" w:cstheme="minorHAnsi"/>
        </w:rPr>
        <w:t>organisation</w:t>
      </w:r>
      <w:r w:rsidR="004972BE" w:rsidRPr="00647223">
        <w:rPr>
          <w:rFonts w:asciiTheme="minorHAnsi" w:eastAsia="Arial Unicode MS" w:hAnsiTheme="minorHAnsi" w:cstheme="minorHAnsi"/>
        </w:rPr>
        <w:t xml:space="preserve"> to facilitate</w:t>
      </w:r>
      <w:r w:rsidR="00A67A24" w:rsidRPr="00647223">
        <w:rPr>
          <w:rFonts w:asciiTheme="minorHAnsi" w:eastAsia="Arial Unicode MS" w:hAnsiTheme="minorHAnsi" w:cstheme="minorHAnsi"/>
        </w:rPr>
        <w:t xml:space="preserve"> change toward integrated service delivery</w:t>
      </w:r>
    </w:p>
    <w:p w:rsidR="0017504A" w:rsidRPr="00647223" w:rsidRDefault="0017504A">
      <w:pPr>
        <w:jc w:val="both"/>
        <w:rPr>
          <w:rFonts w:asciiTheme="minorHAnsi" w:eastAsia="Arial Unicode MS" w:hAnsiTheme="minorHAnsi" w:cstheme="minorHAnsi"/>
          <w:sz w:val="22"/>
          <w:szCs w:val="22"/>
        </w:rPr>
      </w:pPr>
    </w:p>
    <w:p w:rsidR="0017504A" w:rsidRDefault="008B197B">
      <w:pPr>
        <w:jc w:val="both"/>
        <w:rPr>
          <w:rFonts w:ascii="Times New Roman" w:eastAsia="Arial Unicode MS" w:hAnsi="Times New Roman"/>
        </w:rPr>
      </w:pPr>
      <w:r w:rsidRPr="005F0AA6">
        <w:rPr>
          <w:rFonts w:ascii="Times New Roman" w:eastAsia="Arial Unicode MS" w:hAnsi="Times New Roman"/>
          <w:noProof/>
          <w:lang w:eastAsia="en-NZ"/>
        </w:rPr>
        <w:drawing>
          <wp:inline distT="0" distB="0" distL="0" distR="0">
            <wp:extent cx="5600700" cy="2762250"/>
            <wp:effectExtent l="0" t="19050" r="0" b="7620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E151DB" w:rsidRPr="005F0AA6" w:rsidRDefault="00E151DB" w:rsidP="00B04094">
      <w:pPr>
        <w:jc w:val="both"/>
        <w:rPr>
          <w:rFonts w:ascii="Times New Roman" w:eastAsia="Arial Unicode MS" w:hAnsi="Times New Roman"/>
          <w:sz w:val="22"/>
          <w:szCs w:val="22"/>
        </w:rPr>
      </w:pPr>
    </w:p>
    <w:p w:rsidR="00FF2C89" w:rsidRPr="0006616B" w:rsidRDefault="00FF2C89" w:rsidP="00C37D18">
      <w:pPr>
        <w:pStyle w:val="generalparagraph"/>
      </w:pPr>
      <w:r w:rsidRPr="0006616B">
        <w:lastRenderedPageBreak/>
        <w:t>The</w:t>
      </w:r>
      <w:r w:rsidR="00F8742A">
        <w:t xml:space="preserve"> development of these G</w:t>
      </w:r>
      <w:r w:rsidR="001C700B">
        <w:t>uidelines has been informed by the</w:t>
      </w:r>
      <w:r w:rsidRPr="0006616B">
        <w:t xml:space="preserve"> literature review, government reports, poli</w:t>
      </w:r>
      <w:r w:rsidR="00EE0C26">
        <w:t xml:space="preserve">cy and strategic documents, </w:t>
      </w:r>
      <w:r w:rsidRPr="0006616B">
        <w:t>published literature</w:t>
      </w:r>
      <w:r w:rsidR="00EE0C26">
        <w:t>,</w:t>
      </w:r>
      <w:r w:rsidR="00B34C30">
        <w:t xml:space="preserve"> relevant clinical guidelines,</w:t>
      </w:r>
      <w:r w:rsidRPr="0006616B">
        <w:t xml:space="preserve"> </w:t>
      </w:r>
      <w:r w:rsidR="001C700B">
        <w:t xml:space="preserve">and </w:t>
      </w:r>
      <w:r w:rsidR="00647223">
        <w:t>on-going</w:t>
      </w:r>
      <w:r w:rsidR="001C700B">
        <w:t xml:space="preserve"> input from the </w:t>
      </w:r>
      <w:r w:rsidRPr="0006616B">
        <w:t xml:space="preserve">Quality Improvement Group for </w:t>
      </w:r>
      <w:r w:rsidR="00E85EC6">
        <w:t>Māori</w:t>
      </w:r>
      <w:r w:rsidR="001C700B">
        <w:t xml:space="preserve"> oral health providers</w:t>
      </w:r>
      <w:r w:rsidRPr="0006616B">
        <w:t xml:space="preserve"> (appendix 1)</w:t>
      </w:r>
      <w:r w:rsidR="001C700B">
        <w:t>.</w:t>
      </w:r>
      <w:r w:rsidR="00B3404D">
        <w:t xml:space="preserve"> </w:t>
      </w:r>
      <w:r w:rsidRPr="0006616B">
        <w:t xml:space="preserve">The process has also </w:t>
      </w:r>
      <w:r w:rsidR="001C700B">
        <w:t xml:space="preserve">included feedback from the Ministry of Health, </w:t>
      </w:r>
      <w:r w:rsidRPr="0006616B">
        <w:t xml:space="preserve">workshops with Māori oral health providers </w:t>
      </w:r>
      <w:r w:rsidR="001C700B">
        <w:t>including</w:t>
      </w:r>
      <w:r w:rsidRPr="0006616B">
        <w:t xml:space="preserve"> a range of oral and general h</w:t>
      </w:r>
      <w:r w:rsidR="00B34C30">
        <w:t>ealth professionals</w:t>
      </w:r>
      <w:r w:rsidRPr="0006616B">
        <w:t xml:space="preserve">, and external peer review.         </w:t>
      </w:r>
    </w:p>
    <w:p w:rsidR="00FF2C89" w:rsidRPr="0006616B" w:rsidRDefault="00FF2C89" w:rsidP="00C37D18">
      <w:pPr>
        <w:pStyle w:val="generalparagraph"/>
      </w:pPr>
      <w:r w:rsidRPr="0006616B">
        <w:t>The prio</w:t>
      </w:r>
      <w:r w:rsidR="00F8742A">
        <w:t>rity areas identified in these G</w:t>
      </w:r>
      <w:r w:rsidRPr="0006616B">
        <w:t>uidelines were agreed by the</w:t>
      </w:r>
      <w:r w:rsidR="00201F20">
        <w:t xml:space="preserve"> </w:t>
      </w:r>
      <w:r w:rsidR="00201F20" w:rsidRPr="0006616B">
        <w:t>Q</w:t>
      </w:r>
      <w:r w:rsidR="00201F20">
        <w:t>uality Improvement Group for Māori oral health providers (QIG) with the support of the</w:t>
      </w:r>
      <w:r w:rsidRPr="0006616B">
        <w:t xml:space="preserve"> Ministry </w:t>
      </w:r>
      <w:r w:rsidR="00201F20">
        <w:t xml:space="preserve">of Health. </w:t>
      </w:r>
      <w:r w:rsidR="00F8742A">
        <w:t>To keep current with emerging and growing health concerns new priority health areas are added as appropriate.</w:t>
      </w:r>
      <w:r w:rsidR="00B34C30">
        <w:t xml:space="preserve">  </w:t>
      </w:r>
      <w:r w:rsidRPr="0006616B">
        <w:t>The priority areas are:</w:t>
      </w:r>
    </w:p>
    <w:p w:rsidR="00FF2C89" w:rsidRPr="00647223" w:rsidRDefault="005C0B48" w:rsidP="00273722">
      <w:pPr>
        <w:pStyle w:val="ListParagraph"/>
        <w:numPr>
          <w:ilvl w:val="0"/>
          <w:numId w:val="30"/>
        </w:numPr>
        <w:spacing w:before="120" w:after="120"/>
        <w:ind w:left="839" w:hanging="357"/>
        <w:jc w:val="both"/>
        <w:rPr>
          <w:rFonts w:asciiTheme="minorHAnsi" w:eastAsia="Arial Unicode MS" w:hAnsiTheme="minorHAnsi" w:cstheme="minorHAnsi"/>
        </w:rPr>
      </w:pPr>
      <w:r w:rsidRPr="00647223">
        <w:rPr>
          <w:rFonts w:asciiTheme="minorHAnsi" w:eastAsia="Arial Unicode MS" w:hAnsiTheme="minorHAnsi" w:cstheme="minorHAnsi"/>
        </w:rPr>
        <w:t>Helping people who smoke to stop</w:t>
      </w:r>
    </w:p>
    <w:p w:rsidR="00FF2C89" w:rsidRPr="00647223" w:rsidRDefault="005C0B48" w:rsidP="00273722">
      <w:pPr>
        <w:pStyle w:val="ListParagraph"/>
        <w:numPr>
          <w:ilvl w:val="0"/>
          <w:numId w:val="30"/>
        </w:numPr>
        <w:spacing w:before="120" w:after="120"/>
        <w:ind w:left="839" w:hanging="357"/>
        <w:jc w:val="both"/>
        <w:rPr>
          <w:rFonts w:asciiTheme="minorHAnsi" w:eastAsia="Arial Unicode MS" w:hAnsiTheme="minorHAnsi" w:cstheme="minorHAnsi"/>
        </w:rPr>
      </w:pPr>
      <w:r w:rsidRPr="00647223">
        <w:rPr>
          <w:rFonts w:asciiTheme="minorHAnsi" w:eastAsia="Arial Unicode MS" w:hAnsiTheme="minorHAnsi" w:cstheme="minorHAnsi"/>
        </w:rPr>
        <w:t>Rheumatic Fever,</w:t>
      </w:r>
      <w:r w:rsidR="00FF2C89" w:rsidRPr="00647223">
        <w:rPr>
          <w:rFonts w:asciiTheme="minorHAnsi" w:eastAsia="Arial Unicode MS" w:hAnsiTheme="minorHAnsi" w:cstheme="minorHAnsi"/>
        </w:rPr>
        <w:t xml:space="preserve"> and</w:t>
      </w:r>
    </w:p>
    <w:p w:rsidR="00FF2C89" w:rsidRDefault="00FF2C89" w:rsidP="00273722">
      <w:pPr>
        <w:pStyle w:val="ListParagraph"/>
        <w:numPr>
          <w:ilvl w:val="0"/>
          <w:numId w:val="30"/>
        </w:numPr>
        <w:spacing w:before="120" w:after="120"/>
        <w:ind w:left="839" w:hanging="357"/>
        <w:jc w:val="both"/>
        <w:rPr>
          <w:rFonts w:asciiTheme="minorHAnsi" w:eastAsia="Arial Unicode MS" w:hAnsiTheme="minorHAnsi" w:cstheme="minorHAnsi"/>
        </w:rPr>
      </w:pPr>
      <w:r w:rsidRPr="00647223">
        <w:rPr>
          <w:rFonts w:asciiTheme="minorHAnsi" w:eastAsia="Arial Unicode MS" w:hAnsiTheme="minorHAnsi" w:cstheme="minorHAnsi"/>
        </w:rPr>
        <w:t>Hauora Tamariki</w:t>
      </w:r>
    </w:p>
    <w:p w:rsidR="00B34C30" w:rsidRPr="00647223" w:rsidRDefault="00B34C30" w:rsidP="00273722">
      <w:pPr>
        <w:pStyle w:val="ListParagraph"/>
        <w:numPr>
          <w:ilvl w:val="0"/>
          <w:numId w:val="30"/>
        </w:numPr>
        <w:spacing w:before="120" w:after="120"/>
        <w:ind w:left="839" w:hanging="357"/>
        <w:jc w:val="both"/>
        <w:rPr>
          <w:rFonts w:asciiTheme="minorHAnsi" w:eastAsia="Arial Unicode MS" w:hAnsiTheme="minorHAnsi" w:cstheme="minorHAnsi"/>
        </w:rPr>
      </w:pPr>
      <w:r>
        <w:rPr>
          <w:rFonts w:asciiTheme="minorHAnsi" w:eastAsia="Arial Unicode MS" w:hAnsiTheme="minorHAnsi" w:cstheme="minorHAnsi"/>
        </w:rPr>
        <w:t xml:space="preserve">Oral health and diabetes </w:t>
      </w:r>
    </w:p>
    <w:p w:rsidR="00FF2C89" w:rsidRPr="0006616B" w:rsidRDefault="00FF2C89" w:rsidP="00C37D18">
      <w:pPr>
        <w:pStyle w:val="generalparagraph"/>
      </w:pPr>
      <w:r w:rsidRPr="0006616B">
        <w:t>Under each of the identified pri</w:t>
      </w:r>
      <w:r w:rsidR="00201F20">
        <w:t>orities</w:t>
      </w:r>
      <w:r w:rsidR="001C700B">
        <w:t>, the Guidelines set out</w:t>
      </w:r>
      <w:r w:rsidR="00201F20">
        <w:t xml:space="preserve"> </w:t>
      </w:r>
      <w:r w:rsidRPr="0006616B">
        <w:t xml:space="preserve">key points </w:t>
      </w:r>
      <w:r w:rsidR="00201F20">
        <w:t xml:space="preserve">and </w:t>
      </w:r>
      <w:r w:rsidR="001C700B">
        <w:t>r</w:t>
      </w:r>
      <w:r w:rsidRPr="0006616B">
        <w:t>ecommended</w:t>
      </w:r>
      <w:r w:rsidR="00201F20">
        <w:t xml:space="preserve"> integrated practices.</w:t>
      </w:r>
      <w:r w:rsidR="00A71B34">
        <w:t xml:space="preserve"> Note that the integrated area ‘physical integration’ has not been included as all MOHP have co-located dental clinics.  </w:t>
      </w:r>
      <w:r w:rsidRPr="0006616B">
        <w:t xml:space="preserve"> </w:t>
      </w:r>
    </w:p>
    <w:p w:rsidR="0017504A" w:rsidRDefault="00D57B50" w:rsidP="00DA6437">
      <w:pPr>
        <w:pStyle w:val="generalsubheading"/>
      </w:pPr>
      <w:bookmarkStart w:id="14" w:name="_Toc473485916"/>
      <w:r w:rsidRPr="005F0AA6">
        <w:t>TARGET AUDIENCE</w:t>
      </w:r>
      <w:bookmarkEnd w:id="14"/>
    </w:p>
    <w:p w:rsidR="0017504A" w:rsidRDefault="002D45D4" w:rsidP="00C37D18">
      <w:pPr>
        <w:pStyle w:val="generalparagraph"/>
      </w:pPr>
      <w:r w:rsidRPr="0006616B">
        <w:t xml:space="preserve">These guidelines are intended primarily for </w:t>
      </w:r>
      <w:r w:rsidR="00DF6FA7" w:rsidRPr="0006616B">
        <w:t>Māori</w:t>
      </w:r>
      <w:r w:rsidRPr="0006616B">
        <w:t xml:space="preserve"> oral health providers </w:t>
      </w:r>
      <w:r w:rsidR="00BF305C" w:rsidRPr="0006616B">
        <w:t xml:space="preserve">co-located </w:t>
      </w:r>
      <w:r w:rsidR="000163CB">
        <w:t>with primary care services.</w:t>
      </w:r>
      <w:r w:rsidRPr="0006616B">
        <w:t xml:space="preserve"> However, they are relevant and applicable to the wider health sector providing services and programmes for </w:t>
      </w:r>
      <w:r w:rsidR="00DF6FA7" w:rsidRPr="0006616B">
        <w:t>Māori</w:t>
      </w:r>
      <w:r w:rsidRPr="0006616B">
        <w:t xml:space="preserve"> patients and their wh</w:t>
      </w:r>
      <w:r w:rsidR="00783FFC">
        <w:t>ā</w:t>
      </w:r>
      <w:r w:rsidRPr="0006616B">
        <w:t xml:space="preserve">nau, especially those with </w:t>
      </w:r>
      <w:r w:rsidR="00BF305C" w:rsidRPr="0006616B">
        <w:t xml:space="preserve">young tamariki, </w:t>
      </w:r>
      <w:r w:rsidRPr="0006616B">
        <w:t xml:space="preserve">or </w:t>
      </w:r>
      <w:r w:rsidR="0052447D" w:rsidRPr="0006616B">
        <w:t xml:space="preserve">those </w:t>
      </w:r>
      <w:r w:rsidRPr="0006616B">
        <w:t>at greater risk of oral health pro</w:t>
      </w:r>
      <w:r w:rsidR="00B355A2">
        <w:t>blems because of a chronic health</w:t>
      </w:r>
      <w:r w:rsidR="007B1733">
        <w:t xml:space="preserve"> condition</w:t>
      </w:r>
      <w:r w:rsidR="002905C3">
        <w:t>.</w:t>
      </w:r>
      <w:r w:rsidR="00CB37FA" w:rsidRPr="0006616B">
        <w:t xml:space="preserve"> </w:t>
      </w:r>
    </w:p>
    <w:p w:rsidR="00F61D61" w:rsidRPr="00F8742A" w:rsidRDefault="00F61D61" w:rsidP="00C37D18">
      <w:pPr>
        <w:pStyle w:val="generalparagraph"/>
        <w:rPr>
          <w:b/>
        </w:rPr>
      </w:pPr>
      <w:r w:rsidRPr="00F8742A">
        <w:rPr>
          <w:b/>
        </w:rPr>
        <w:t>Building a local picture of health and need</w:t>
      </w:r>
    </w:p>
    <w:p w:rsidR="002B2B71" w:rsidRDefault="002B2B71" w:rsidP="00C37D18">
      <w:pPr>
        <w:pStyle w:val="generalparagraph"/>
      </w:pPr>
      <w:r>
        <w:t xml:space="preserve">These </w:t>
      </w:r>
      <w:r w:rsidR="00F8742A">
        <w:t>G</w:t>
      </w:r>
      <w:r>
        <w:t>uid</w:t>
      </w:r>
      <w:r w:rsidR="00BD123A">
        <w:t>elines can be best utilised when</w:t>
      </w:r>
      <w:r>
        <w:t xml:space="preserve"> the MOHP has a working knowledge of the demographic and health status of their local communities and population groups.  MOHP should obtain and assess, on a regular basis, </w:t>
      </w:r>
      <w:r w:rsidR="00F61D61">
        <w:t xml:space="preserve">local </w:t>
      </w:r>
      <w:r>
        <w:t>information about</w:t>
      </w:r>
      <w:r w:rsidR="00F61D61">
        <w:t>:</w:t>
      </w:r>
    </w:p>
    <w:p w:rsidR="00F61D61" w:rsidRDefault="00F61D61" w:rsidP="00C37D18">
      <w:pPr>
        <w:pStyle w:val="generalparagraph"/>
        <w:numPr>
          <w:ilvl w:val="0"/>
          <w:numId w:val="31"/>
        </w:numPr>
      </w:pPr>
      <w:r>
        <w:t>smoking prevalence and quit statistics</w:t>
      </w:r>
      <w:r w:rsidR="00783FFC">
        <w:t>;</w:t>
      </w:r>
    </w:p>
    <w:p w:rsidR="00F61D61" w:rsidRDefault="00783FFC" w:rsidP="00C37D18">
      <w:pPr>
        <w:pStyle w:val="generalparagraph"/>
        <w:numPr>
          <w:ilvl w:val="0"/>
          <w:numId w:val="31"/>
        </w:numPr>
      </w:pPr>
      <w:r>
        <w:t>p</w:t>
      </w:r>
      <w:r w:rsidR="00F61D61">
        <w:t>eople with chronic conditions</w:t>
      </w:r>
      <w:r>
        <w:t>; and</w:t>
      </w:r>
    </w:p>
    <w:p w:rsidR="00F61D61" w:rsidRDefault="00F61D61" w:rsidP="00C37D18">
      <w:pPr>
        <w:pStyle w:val="generalparagraph"/>
        <w:numPr>
          <w:ilvl w:val="0"/>
          <w:numId w:val="31"/>
        </w:numPr>
      </w:pPr>
      <w:r>
        <w:t>Well Child Tamariki enrolment status</w:t>
      </w:r>
      <w:r w:rsidR="00783FFC">
        <w:t>.</w:t>
      </w:r>
    </w:p>
    <w:p w:rsidR="00BD123A" w:rsidRDefault="00BD123A" w:rsidP="00C37D18">
      <w:pPr>
        <w:pStyle w:val="generalparagraph"/>
      </w:pPr>
      <w:r>
        <w:t xml:space="preserve">Gathering information about local services and programmes (smoking cessation, family violence, rheumatic fever, child health programmes and services) will also increase provider awareness and support processes to initiate integrated practices.      </w:t>
      </w:r>
    </w:p>
    <w:p w:rsidR="00476247" w:rsidRDefault="00D57B50" w:rsidP="00DA6437">
      <w:pPr>
        <w:pStyle w:val="generalsubheading"/>
      </w:pPr>
      <w:bookmarkStart w:id="15" w:name="_Toc473485917"/>
      <w:r>
        <w:t>GRADING OF RECOMMENDED PRACTICES</w:t>
      </w:r>
      <w:bookmarkEnd w:id="15"/>
    </w:p>
    <w:p w:rsidR="0053294E" w:rsidRPr="00201F20" w:rsidRDefault="00A71B34" w:rsidP="00C37D18">
      <w:pPr>
        <w:pStyle w:val="generalparagraph"/>
      </w:pPr>
      <w:r>
        <w:t>Each of the priority areas contains recommended practices</w:t>
      </w:r>
      <w:r w:rsidR="0053294E">
        <w:t xml:space="preserve"> under the three integrated areas</w:t>
      </w:r>
      <w:r w:rsidR="00B355A2">
        <w:t>:</w:t>
      </w:r>
      <w:r>
        <w:t xml:space="preserve"> knowledge, systems, </w:t>
      </w:r>
      <w:r w:rsidR="002905C3">
        <w:t>and focus.</w:t>
      </w:r>
      <w:r>
        <w:t xml:space="preserve"> </w:t>
      </w:r>
      <w:r w:rsidR="00C70166">
        <w:t>The main sources for re</w:t>
      </w:r>
      <w:r>
        <w:t>commended practices</w:t>
      </w:r>
      <w:r w:rsidR="00C70166">
        <w:t xml:space="preserve"> are: publ</w:t>
      </w:r>
      <w:r>
        <w:t>ished guidelines, handbooks, protocol</w:t>
      </w:r>
      <w:r w:rsidR="004267A1">
        <w:t>s</w:t>
      </w:r>
      <w:r w:rsidR="00B355A2">
        <w:t>, and systematic reviews</w:t>
      </w:r>
      <w:r>
        <w:t>.</w:t>
      </w:r>
      <w:r w:rsidR="0053294E">
        <w:t xml:space="preserve"> Each recommended practice has been </w:t>
      </w:r>
      <w:r w:rsidR="00C70166">
        <w:t xml:space="preserve">assigned a grade (A </w:t>
      </w:r>
      <w:r w:rsidR="00EF0F24">
        <w:t>and/</w:t>
      </w:r>
      <w:r w:rsidR="00C70166">
        <w:t>or B</w:t>
      </w:r>
      <w:r w:rsidR="0053294E">
        <w:t>) based on the evidence reviewed</w:t>
      </w:r>
      <w:r w:rsidR="00EF0F24">
        <w:t xml:space="preserve"> or the support of the QIG.</w:t>
      </w:r>
    </w:p>
    <w:tbl>
      <w:tblPr>
        <w:tblStyle w:val="TableGrid"/>
        <w:tblW w:w="0" w:type="auto"/>
        <w:tblLook w:val="04A0" w:firstRow="1" w:lastRow="0" w:firstColumn="1" w:lastColumn="0" w:noHBand="0" w:noVBand="1"/>
      </w:tblPr>
      <w:tblGrid>
        <w:gridCol w:w="1101"/>
        <w:gridCol w:w="7796"/>
      </w:tblGrid>
      <w:tr w:rsidR="0053294E" w:rsidTr="00B3404D">
        <w:tc>
          <w:tcPr>
            <w:tcW w:w="1101" w:type="dxa"/>
            <w:shd w:val="clear" w:color="auto" w:fill="42D0B8"/>
            <w:vAlign w:val="center"/>
          </w:tcPr>
          <w:p w:rsidR="0053294E" w:rsidRPr="00647223" w:rsidRDefault="0053294E" w:rsidP="00647223">
            <w:pPr>
              <w:spacing w:before="60" w:after="60"/>
              <w:jc w:val="center"/>
              <w:rPr>
                <w:rFonts w:asciiTheme="minorHAnsi" w:eastAsia="Arial Unicode MS" w:hAnsiTheme="minorHAnsi" w:cstheme="minorHAnsi"/>
                <w:b/>
                <w:color w:val="FFFFFF" w:themeColor="background1"/>
                <w:sz w:val="22"/>
                <w:szCs w:val="22"/>
              </w:rPr>
            </w:pPr>
            <w:r w:rsidRPr="00647223">
              <w:rPr>
                <w:rFonts w:asciiTheme="minorHAnsi" w:eastAsia="Arial Unicode MS" w:hAnsiTheme="minorHAnsi" w:cstheme="minorHAnsi"/>
                <w:b/>
                <w:color w:val="FFFFFF" w:themeColor="background1"/>
                <w:sz w:val="22"/>
                <w:szCs w:val="22"/>
              </w:rPr>
              <w:t>Grade</w:t>
            </w:r>
          </w:p>
        </w:tc>
        <w:tc>
          <w:tcPr>
            <w:tcW w:w="7796" w:type="dxa"/>
            <w:shd w:val="clear" w:color="auto" w:fill="42D0B8"/>
          </w:tcPr>
          <w:p w:rsidR="0053294E" w:rsidRPr="00647223" w:rsidRDefault="0053294E" w:rsidP="00647223">
            <w:pPr>
              <w:spacing w:before="60" w:after="60"/>
              <w:rPr>
                <w:rFonts w:asciiTheme="minorHAnsi" w:eastAsia="Arial Unicode MS" w:hAnsiTheme="minorHAnsi" w:cstheme="minorHAnsi"/>
                <w:b/>
                <w:color w:val="FFFFFF" w:themeColor="background1"/>
                <w:sz w:val="22"/>
                <w:szCs w:val="22"/>
              </w:rPr>
            </w:pPr>
            <w:r w:rsidRPr="00647223">
              <w:rPr>
                <w:rFonts w:asciiTheme="minorHAnsi" w:eastAsia="Arial Unicode MS" w:hAnsiTheme="minorHAnsi" w:cstheme="minorHAnsi"/>
                <w:b/>
                <w:color w:val="FFFFFF" w:themeColor="background1"/>
                <w:sz w:val="22"/>
                <w:szCs w:val="22"/>
              </w:rPr>
              <w:t>Recommendation</w:t>
            </w:r>
          </w:p>
        </w:tc>
      </w:tr>
      <w:tr w:rsidR="0053294E" w:rsidTr="00B3404D">
        <w:tc>
          <w:tcPr>
            <w:tcW w:w="1101" w:type="dxa"/>
            <w:vAlign w:val="center"/>
          </w:tcPr>
          <w:p w:rsidR="0053294E" w:rsidRPr="00647223" w:rsidRDefault="0053294E" w:rsidP="00647223">
            <w:pPr>
              <w:spacing w:before="60" w:after="60"/>
              <w:jc w:val="center"/>
              <w:rPr>
                <w:rFonts w:asciiTheme="minorHAnsi" w:eastAsia="Arial Unicode MS" w:hAnsiTheme="minorHAnsi" w:cstheme="minorHAnsi"/>
                <w:sz w:val="22"/>
                <w:szCs w:val="22"/>
              </w:rPr>
            </w:pPr>
            <w:r w:rsidRPr="00647223">
              <w:rPr>
                <w:rFonts w:asciiTheme="minorHAnsi" w:eastAsia="Arial Unicode MS" w:hAnsiTheme="minorHAnsi" w:cstheme="minorHAnsi"/>
                <w:sz w:val="22"/>
                <w:szCs w:val="22"/>
              </w:rPr>
              <w:t>A</w:t>
            </w:r>
          </w:p>
        </w:tc>
        <w:tc>
          <w:tcPr>
            <w:tcW w:w="7796" w:type="dxa"/>
          </w:tcPr>
          <w:p w:rsidR="0053294E" w:rsidRPr="00647223" w:rsidRDefault="004267A1" w:rsidP="00647223">
            <w:pPr>
              <w:spacing w:before="60" w:after="60"/>
              <w:rPr>
                <w:rFonts w:asciiTheme="minorHAnsi" w:eastAsia="Arial Unicode MS" w:hAnsiTheme="minorHAnsi" w:cstheme="minorHAnsi"/>
                <w:sz w:val="22"/>
                <w:szCs w:val="22"/>
              </w:rPr>
            </w:pPr>
            <w:r w:rsidRPr="00647223">
              <w:rPr>
                <w:rFonts w:asciiTheme="minorHAnsi" w:eastAsia="Arial Unicode MS" w:hAnsiTheme="minorHAnsi" w:cstheme="minorHAnsi"/>
                <w:sz w:val="22"/>
                <w:szCs w:val="22"/>
              </w:rPr>
              <w:t>The recommendation is supported by GOOD (strong) evidence</w:t>
            </w:r>
          </w:p>
        </w:tc>
      </w:tr>
      <w:tr w:rsidR="004267A1" w:rsidTr="00B3404D">
        <w:tc>
          <w:tcPr>
            <w:tcW w:w="1101" w:type="dxa"/>
            <w:vAlign w:val="center"/>
          </w:tcPr>
          <w:p w:rsidR="004267A1" w:rsidRPr="00647223" w:rsidRDefault="004267A1" w:rsidP="00647223">
            <w:pPr>
              <w:spacing w:before="60" w:after="60"/>
              <w:jc w:val="center"/>
              <w:rPr>
                <w:rFonts w:asciiTheme="minorHAnsi" w:eastAsia="Arial Unicode MS" w:hAnsiTheme="minorHAnsi" w:cstheme="minorHAnsi"/>
                <w:sz w:val="22"/>
                <w:szCs w:val="22"/>
              </w:rPr>
            </w:pPr>
            <w:r w:rsidRPr="00647223">
              <w:rPr>
                <w:rFonts w:asciiTheme="minorHAnsi" w:eastAsia="Arial Unicode MS" w:hAnsiTheme="minorHAnsi" w:cstheme="minorHAnsi"/>
                <w:sz w:val="22"/>
                <w:szCs w:val="22"/>
              </w:rPr>
              <w:t>B</w:t>
            </w:r>
          </w:p>
        </w:tc>
        <w:tc>
          <w:tcPr>
            <w:tcW w:w="7796" w:type="dxa"/>
          </w:tcPr>
          <w:p w:rsidR="004267A1" w:rsidRPr="00647223" w:rsidRDefault="004267A1" w:rsidP="00647223">
            <w:pPr>
              <w:spacing w:before="60" w:after="60"/>
              <w:rPr>
                <w:rFonts w:asciiTheme="minorHAnsi" w:eastAsia="Arial Unicode MS" w:hAnsiTheme="minorHAnsi" w:cstheme="minorHAnsi"/>
                <w:sz w:val="22"/>
                <w:szCs w:val="22"/>
              </w:rPr>
            </w:pPr>
            <w:r w:rsidRPr="00647223">
              <w:rPr>
                <w:rFonts w:asciiTheme="minorHAnsi" w:eastAsia="Arial Unicode MS" w:hAnsiTheme="minorHAnsi" w:cstheme="minorHAnsi"/>
                <w:sz w:val="22"/>
                <w:szCs w:val="22"/>
              </w:rPr>
              <w:t xml:space="preserve">The integrated best practice is supported by the Quality Improvement Group for </w:t>
            </w:r>
            <w:r w:rsidR="00D04D2C">
              <w:rPr>
                <w:rFonts w:asciiTheme="minorHAnsi" w:eastAsia="Arial Unicode MS" w:hAnsiTheme="minorHAnsi" w:cstheme="minorHAnsi"/>
                <w:sz w:val="22"/>
                <w:szCs w:val="22"/>
              </w:rPr>
              <w:t>Māori</w:t>
            </w:r>
            <w:r w:rsidRPr="00647223">
              <w:rPr>
                <w:rFonts w:asciiTheme="minorHAnsi" w:eastAsia="Arial Unicode MS" w:hAnsiTheme="minorHAnsi" w:cstheme="minorHAnsi"/>
                <w:sz w:val="22"/>
                <w:szCs w:val="22"/>
              </w:rPr>
              <w:t xml:space="preserve"> oral health providers</w:t>
            </w:r>
          </w:p>
        </w:tc>
      </w:tr>
    </w:tbl>
    <w:p w:rsidR="001A42CC" w:rsidRDefault="002D45D4" w:rsidP="0036356E">
      <w:pPr>
        <w:pStyle w:val="Heading1"/>
      </w:pPr>
      <w:r w:rsidRPr="005F0AA6">
        <w:br w:type="page"/>
      </w:r>
      <w:bookmarkStart w:id="16" w:name="_Toc473485918"/>
      <w:r w:rsidR="001A42CC" w:rsidRPr="005F0AA6">
        <w:lastRenderedPageBreak/>
        <w:t xml:space="preserve">NGĀ ARA TIKA: INTEGRATED PRACTICES FOR </w:t>
      </w:r>
      <w:r w:rsidR="001A42CC">
        <w:t>HELPING PEOPLE WHO SMOKE TO STOP</w:t>
      </w:r>
      <w:bookmarkEnd w:id="16"/>
    </w:p>
    <w:p w:rsidR="00BD2B26" w:rsidRDefault="00634C22" w:rsidP="00B34C30">
      <w:pPr>
        <w:pStyle w:val="generalaimheading"/>
      </w:pPr>
      <w:r>
        <mc:AlternateContent>
          <mc:Choice Requires="wps">
            <w:drawing>
              <wp:anchor distT="0" distB="0" distL="114300" distR="114300" simplePos="0" relativeHeight="251664384" behindDoc="0" locked="0" layoutInCell="1" allowOverlap="1">
                <wp:simplePos x="0" y="0"/>
                <wp:positionH relativeFrom="column">
                  <wp:posOffset>-9525</wp:posOffset>
                </wp:positionH>
                <wp:positionV relativeFrom="paragraph">
                  <wp:posOffset>292735</wp:posOffset>
                </wp:positionV>
                <wp:extent cx="5624195" cy="474345"/>
                <wp:effectExtent l="0" t="0" r="0" b="0"/>
                <wp:wrapNone/>
                <wp:docPr id="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4195" cy="474345"/>
                        </a:xfrm>
                        <a:prstGeom prst="rect">
                          <a:avLst/>
                        </a:prstGeom>
                        <a:solidFill>
                          <a:srgbClr val="42D0B8">
                            <a:alpha val="10000"/>
                          </a:srgbClr>
                        </a:solidFill>
                        <a:ln w="25400" cap="flat" cmpd="sng" algn="ctr">
                          <a:noFill/>
                          <a:prstDash val="solid"/>
                        </a:ln>
                        <a:effectLst/>
                      </wps:spPr>
                      <wps:txbx>
                        <w:txbxContent>
                          <w:p w:rsidR="00C37D18" w:rsidRDefault="00C37D1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26" style="position:absolute;left:0;text-align:left;margin-left:-.75pt;margin-top:23.05pt;width:442.85pt;height:37.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" fillcolor="#42d0b8" stroked="f" strokeweight="2pt">
                <v:fill opacity="6682f"/>
                <v:path arrowok="t"/>
                <v:textbox>
                  <w:txbxContent>
                    <w:p w:rsidR="00C37D18" w:rsidRDefault="00C37D18"/>
                  </w:txbxContent>
                </v:textbox>
              </v:rect>
            </w:pict>
          </mc:Fallback>
        </mc:AlternateContent>
      </w:r>
      <w:r>
        <mc:AlternateContent>
          <mc:Choice Requires="wps">
            <w:drawing>
              <wp:anchor distT="0" distB="0" distL="114300" distR="114300" simplePos="0" relativeHeight="251663360" behindDoc="1" locked="0" layoutInCell="1" allowOverlap="1">
                <wp:simplePos x="0" y="0"/>
                <wp:positionH relativeFrom="column">
                  <wp:posOffset>-16510</wp:posOffset>
                </wp:positionH>
                <wp:positionV relativeFrom="paragraph">
                  <wp:posOffset>44450</wp:posOffset>
                </wp:positionV>
                <wp:extent cx="5631180" cy="249555"/>
                <wp:effectExtent l="0" t="0" r="0" b="0"/>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1180" cy="249555"/>
                        </a:xfrm>
                        <a:prstGeom prst="rect">
                          <a:avLst/>
                        </a:prstGeom>
                        <a:solidFill>
                          <a:srgbClr val="42D0B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37D18" w:rsidRDefault="00C37D1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7" style="position:absolute;left:0;text-align:left;margin-left:-1.3pt;margin-top:3.5pt;width:443.4pt;height:19.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" fillcolor="#42d0b8" stroked="f" strokeweight="2pt">
                <v:path arrowok="t"/>
                <v:textbox>
                  <w:txbxContent>
                    <w:p w:rsidR="00C37D18" w:rsidRDefault="00C37D18"/>
                  </w:txbxContent>
                </v:textbox>
              </v:rect>
            </w:pict>
          </mc:Fallback>
        </mc:AlternateContent>
      </w:r>
      <w:r w:rsidR="00BD2B26">
        <w:t xml:space="preserve">AIM: </w:t>
      </w:r>
    </w:p>
    <w:p w:rsidR="005D4084" w:rsidRPr="00BD2B26" w:rsidRDefault="00171D1D" w:rsidP="00BD2B26">
      <w:pPr>
        <w:pStyle w:val="generalaimtext"/>
      </w:pPr>
      <w:r w:rsidRPr="00BD2B26">
        <w:t>To take full advantage of every opportunity to provide smoking cessation advice and assistance</w:t>
      </w:r>
      <w:r w:rsidR="00EA7DF1">
        <w:t xml:space="preserve"> to people who smoke</w:t>
      </w:r>
      <w:r w:rsidRPr="00BD2B26">
        <w:t xml:space="preserve">   </w:t>
      </w:r>
    </w:p>
    <w:p w:rsidR="00E65FE2" w:rsidRPr="0008344E" w:rsidRDefault="00E65FE2" w:rsidP="0008344E"/>
    <w:p w:rsidR="0017504A" w:rsidRDefault="002D45D4" w:rsidP="00DA6437">
      <w:pPr>
        <w:pStyle w:val="generalsubheading"/>
      </w:pPr>
      <w:bookmarkStart w:id="17" w:name="_Toc473485919"/>
      <w:r w:rsidRPr="005F0AA6">
        <w:t>R</w:t>
      </w:r>
      <w:r w:rsidR="00DF6FA7">
        <w:t>ATIONALE</w:t>
      </w:r>
      <w:bookmarkEnd w:id="17"/>
      <w:r w:rsidR="00450EF1">
        <w:t xml:space="preserve"> </w:t>
      </w:r>
    </w:p>
    <w:p w:rsidR="0035756A" w:rsidRDefault="0035756A" w:rsidP="00C37D18">
      <w:pPr>
        <w:pStyle w:val="generalparagraph"/>
      </w:pPr>
      <w:r>
        <w:t>In New Zealand smoking is responsible for nearly 5000 deaths per year including deaths due to second hand smoke (Ministry of Health, 2006).</w:t>
      </w:r>
      <w:r w:rsidRPr="00EE7E61">
        <w:t xml:space="preserve"> </w:t>
      </w:r>
      <w:r>
        <w:t>At least 50 percent of all regular cigarette smokers will eventually die from</w:t>
      </w:r>
      <w:r w:rsidR="00783FFC">
        <w:t xml:space="preserve"> smoking, and on average will l</w:t>
      </w:r>
      <w:r>
        <w:t>ose 14 years of quality life (ASH, 2009)</w:t>
      </w:r>
      <w:r w:rsidR="00A0005D">
        <w:t>.</w:t>
      </w:r>
      <w:r>
        <w:t xml:space="preserve"> </w:t>
      </w:r>
      <w:r w:rsidR="00A0005D">
        <w:t>Smoking substantially increases</w:t>
      </w:r>
      <w:r>
        <w:t xml:space="preserve"> the risk of developing diseases of the respiratory and circulatory systems including cancers of the lung, as well as other non-fatal diseases such as periodontal disease (WHO, 2012; Ministry of Health, 2005</w:t>
      </w:r>
      <w:r w:rsidRPr="0006616B">
        <w:t>)</w:t>
      </w:r>
      <w:r>
        <w:t>.</w:t>
      </w:r>
      <w:r w:rsidRPr="00EE7E61">
        <w:t xml:space="preserve"> </w:t>
      </w:r>
    </w:p>
    <w:p w:rsidR="0035756A" w:rsidRDefault="0035756A" w:rsidP="00C37D18">
      <w:pPr>
        <w:pStyle w:val="generalparagraph"/>
      </w:pPr>
      <w:r>
        <w:t xml:space="preserve">Smoking disproportionately affects Māori. </w:t>
      </w:r>
      <w:r w:rsidRPr="0006616B">
        <w:rPr>
          <w:bCs/>
        </w:rPr>
        <w:t>Māori</w:t>
      </w:r>
      <w:r w:rsidRPr="0006616B">
        <w:t xml:space="preserve"> adults are more </w:t>
      </w:r>
      <w:r>
        <w:t>than twice as likely to smoke than</w:t>
      </w:r>
      <w:r w:rsidRPr="0006616B">
        <w:t xml:space="preserve"> other adults, with two in five </w:t>
      </w:r>
      <w:r w:rsidRPr="0006616B">
        <w:rPr>
          <w:bCs/>
        </w:rPr>
        <w:t>Māori</w:t>
      </w:r>
      <w:r w:rsidRPr="0006616B">
        <w:t xml:space="preserve"> adults</w:t>
      </w:r>
      <w:r>
        <w:t xml:space="preserve"> (41%) smoking (Ministry of Health</w:t>
      </w:r>
      <w:r w:rsidRPr="0006616B">
        <w:t xml:space="preserve">, 2013). </w:t>
      </w:r>
      <w:r>
        <w:t>In 2000-2004, respiratory diseases were one of the five leading causes of death and hospitalisati</w:t>
      </w:r>
      <w:r w:rsidR="00A0005D">
        <w:t>on for Māori</w:t>
      </w:r>
      <w:r>
        <w:t xml:space="preserve"> (Crengle et al, 2007). </w:t>
      </w:r>
      <w:r w:rsidRPr="0006616B">
        <w:t>Lung cancer is one of the most common causes of cancer among Māori, contributing to over 31% of Māori cancer deaths, compared to 17% of non-Māori cancer deaths (Robson and Harris, 2007).</w:t>
      </w:r>
      <w:r>
        <w:t xml:space="preserve"> </w:t>
      </w:r>
    </w:p>
    <w:p w:rsidR="0035756A" w:rsidRDefault="0035756A" w:rsidP="00C37D18">
      <w:pPr>
        <w:pStyle w:val="generalparagraph"/>
      </w:pPr>
      <w:r>
        <w:t>On aver</w:t>
      </w:r>
      <w:r w:rsidRPr="00CE2245">
        <w:t>age</w:t>
      </w:r>
      <w:r w:rsidR="00A45D1C">
        <w:t>,</w:t>
      </w:r>
      <w:r w:rsidRPr="00CE2245">
        <w:t xml:space="preserve"> current smokers have a three-fold increased risk of oral cancer (Gandini et al, 2008). For oral cancers overall, Māori and non-Māori were diagnosed at similar rates, but Māori males were more likely to die from their cancer than non-Māori males (Robson et al, 2005).</w:t>
      </w:r>
      <w:r w:rsidRPr="009005AA">
        <w:t xml:space="preserve"> </w:t>
      </w:r>
      <w:r w:rsidRPr="00CE2245">
        <w:t xml:space="preserve">Tobacco </w:t>
      </w:r>
      <w:r w:rsidR="00A45D1C" w:rsidRPr="00CE2245">
        <w:t>usage combined with alcohol consumption is</w:t>
      </w:r>
      <w:r w:rsidRPr="00CE2245">
        <w:t xml:space="preserve"> also major risk factors for oral and pharyngeal cancer (Rodriguez et al, 2004; Blot et al, 1988; La Vecchia et al, 1997)</w:t>
      </w:r>
      <w:r w:rsidR="00A0005D">
        <w:t xml:space="preserve">. </w:t>
      </w:r>
      <w:r w:rsidRPr="00CE2245">
        <w:t xml:space="preserve"> </w:t>
      </w:r>
    </w:p>
    <w:p w:rsidR="0035756A" w:rsidRPr="0006616B" w:rsidRDefault="0035756A" w:rsidP="00C37D18">
      <w:pPr>
        <w:pStyle w:val="generalparagraph"/>
      </w:pPr>
      <w:r w:rsidRPr="0006616B">
        <w:t>Evidence shows that tobacco use prevention and cessation, where even basic smoking cessation is offered, can have a measured beneficial effect on the pre</w:t>
      </w:r>
      <w:r>
        <w:t>valence of smoking (Hendricson and</w:t>
      </w:r>
      <w:r w:rsidRPr="0006616B">
        <w:t xml:space="preserve"> Cohen, 2001; Lamster &amp; Eaves, 2011). </w:t>
      </w:r>
      <w:r>
        <w:t>The World Health Organisation (2012)</w:t>
      </w:r>
      <w:r w:rsidRPr="0006616B">
        <w:t xml:space="preserve"> states that, ‘</w:t>
      </w:r>
      <w:r w:rsidRPr="00BA4706">
        <w:rPr>
          <w:i/>
        </w:rPr>
        <w:t>dentists are as effective as other clinicians in helping tobacco users quit, and results are improved when more than one discipline assists individuals during the quitting process</w:t>
      </w:r>
      <w:r>
        <w:t>.’</w:t>
      </w:r>
      <w:r w:rsidRPr="0006616B">
        <w:t xml:space="preserve"> </w:t>
      </w:r>
    </w:p>
    <w:p w:rsidR="0035756A" w:rsidRPr="0006616B" w:rsidRDefault="0035756A" w:rsidP="00C37D18">
      <w:pPr>
        <w:pStyle w:val="generalparagraph"/>
      </w:pPr>
      <w:r w:rsidRPr="0006616B">
        <w:t xml:space="preserve">The co-location of MOHP services with </w:t>
      </w:r>
      <w:r>
        <w:t xml:space="preserve">primary care, </w:t>
      </w:r>
      <w:r w:rsidRPr="0006616B">
        <w:t>maternity and Well C</w:t>
      </w:r>
      <w:r w:rsidR="00A0005D">
        <w:t>hild Tamariki Ora providers enables</w:t>
      </w:r>
      <w:r w:rsidRPr="0006616B">
        <w:t xml:space="preserve"> collabor</w:t>
      </w:r>
      <w:r>
        <w:t>ation across services for</w:t>
      </w:r>
      <w:r w:rsidR="00A0005D">
        <w:t xml:space="preserve"> </w:t>
      </w:r>
      <w:r w:rsidRPr="0006616B">
        <w:t>tamariki and wh</w:t>
      </w:r>
      <w:r w:rsidR="00A45D1C">
        <w:t>ā</w:t>
      </w:r>
      <w:r w:rsidRPr="0006616B">
        <w:t>nau at risk of smoking related illnesses.</w:t>
      </w:r>
      <w:r>
        <w:t xml:space="preserve"> Smoking around children significantly increases the risk of respiratory illnesses</w:t>
      </w:r>
      <w:r w:rsidR="00EA2C9F">
        <w:t xml:space="preserve"> such as croup, bronchitis, and</w:t>
      </w:r>
      <w:r>
        <w:t xml:space="preserve"> glue ear (Ministry of Health, 2013b). The impact of smoking on tamariki continues </w:t>
      </w:r>
      <w:r w:rsidR="00A45D1C">
        <w:t xml:space="preserve">on </w:t>
      </w:r>
      <w:r>
        <w:t xml:space="preserve">into adulthood as children of a parent who smokes are seven times more likely to become smokers (Ministry of Health, 2013b). Smoking can also have a harmful effect on pregnancy and infant health outcomes (Ministry of Health, 2005). Lead Maternity Carers, including general practitioners have a role to offer smoke free/cessation advice to pregnant women at the time of confirming their pregnancy (Ministry of Health, 2013).   </w:t>
      </w:r>
      <w:r w:rsidRPr="0006616B">
        <w:t xml:space="preserve">      </w:t>
      </w:r>
    </w:p>
    <w:p w:rsidR="0035756A" w:rsidRDefault="0035756A" w:rsidP="00C37D18">
      <w:pPr>
        <w:pStyle w:val="generalparagraph"/>
      </w:pPr>
      <w:r>
        <w:t xml:space="preserve">These guidelines support the New Zealand Cessation Guidelines (Ministry of Health, 2007) ABC approach </w:t>
      </w:r>
      <w:r w:rsidRPr="0006616B">
        <w:t>to</w:t>
      </w:r>
      <w:r>
        <w:t xml:space="preserve"> </w:t>
      </w:r>
      <w:r>
        <w:rPr>
          <w:b/>
          <w:i/>
        </w:rPr>
        <w:t xml:space="preserve">Ask </w:t>
      </w:r>
      <w:r>
        <w:t xml:space="preserve">about smoking, give </w:t>
      </w:r>
      <w:r w:rsidRPr="00934E82">
        <w:rPr>
          <w:b/>
          <w:i/>
        </w:rPr>
        <w:t>Brief</w:t>
      </w:r>
      <w:r>
        <w:rPr>
          <w:b/>
        </w:rPr>
        <w:t xml:space="preserve"> </w:t>
      </w:r>
      <w:r>
        <w:t xml:space="preserve">advice to quit, and to offer </w:t>
      </w:r>
      <w:r w:rsidRPr="00934E82">
        <w:rPr>
          <w:b/>
          <w:i/>
        </w:rPr>
        <w:t>Cessation support</w:t>
      </w:r>
      <w:r>
        <w:rPr>
          <w:b/>
        </w:rPr>
        <w:t xml:space="preserve"> </w:t>
      </w:r>
      <w:r>
        <w:t xml:space="preserve">to those who want to quit. </w:t>
      </w:r>
    </w:p>
    <w:p w:rsidR="00F8742A" w:rsidRDefault="00F8742A">
      <w:pPr>
        <w:rPr>
          <w:rFonts w:asciiTheme="minorHAnsi" w:eastAsia="Arial Unicode MS" w:hAnsiTheme="minorHAnsi" w:cstheme="minorHAnsi"/>
          <w:b/>
          <w:bCs/>
          <w:kern w:val="32"/>
          <w:sz w:val="28"/>
          <w:szCs w:val="28"/>
          <w:lang w:val="en-AU"/>
        </w:rPr>
      </w:pPr>
      <w:bookmarkStart w:id="18" w:name="_Toc473485920"/>
      <w:r>
        <w:br w:type="page"/>
      </w:r>
    </w:p>
    <w:p w:rsidR="00BC23D6" w:rsidRDefault="002D45D4" w:rsidP="00DA6437">
      <w:pPr>
        <w:pStyle w:val="generalsubheading"/>
      </w:pPr>
      <w:r w:rsidRPr="005F0AA6">
        <w:lastRenderedPageBreak/>
        <w:t>I</w:t>
      </w:r>
      <w:r w:rsidR="006C18DA">
        <w:t>NTEGRATED PRACTICES</w:t>
      </w:r>
      <w:bookmarkEnd w:id="18"/>
    </w:p>
    <w:p w:rsidR="00DA6437" w:rsidRPr="0008344E" w:rsidRDefault="00DA6437" w:rsidP="0008344E"/>
    <w:tbl>
      <w:tblPr>
        <w:tblW w:w="0" w:type="auto"/>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ayout w:type="fixed"/>
        <w:tblLook w:val="04A0" w:firstRow="1" w:lastRow="0" w:firstColumn="1" w:lastColumn="0" w:noHBand="0" w:noVBand="1"/>
      </w:tblPr>
      <w:tblGrid>
        <w:gridCol w:w="9039"/>
      </w:tblGrid>
      <w:tr w:rsidR="006A3F5B" w:rsidRPr="005F0AA6" w:rsidTr="0003585F">
        <w:trPr>
          <w:trHeight w:val="414"/>
        </w:trPr>
        <w:tc>
          <w:tcPr>
            <w:tcW w:w="9039" w:type="dxa"/>
            <w:tcBorders>
              <w:top w:val="single" w:sz="4" w:space="0" w:color="42D0B8"/>
              <w:left w:val="single" w:sz="8" w:space="0" w:color="9BBB59" w:themeColor="accent3"/>
              <w:bottom w:val="single" w:sz="4" w:space="0" w:color="42D0B8"/>
              <w:right w:val="single" w:sz="8" w:space="0" w:color="9BBB59" w:themeColor="accent3"/>
            </w:tcBorders>
            <w:shd w:val="clear" w:color="auto" w:fill="42D0B8"/>
          </w:tcPr>
          <w:p w:rsidR="0017504A" w:rsidRPr="00E65FE2" w:rsidRDefault="002D45D4" w:rsidP="00E65FE2">
            <w:pPr>
              <w:spacing w:before="120" w:after="120"/>
              <w:jc w:val="both"/>
              <w:rPr>
                <w:rFonts w:asciiTheme="minorHAnsi" w:eastAsia="Arial Unicode MS" w:hAnsiTheme="minorHAnsi" w:cstheme="minorHAnsi"/>
                <w:b/>
                <w:color w:val="FFFFFF" w:themeColor="background1"/>
                <w:sz w:val="22"/>
                <w:szCs w:val="22"/>
              </w:rPr>
            </w:pPr>
            <w:r w:rsidRPr="00E65FE2">
              <w:rPr>
                <w:rFonts w:asciiTheme="minorHAnsi" w:eastAsia="Arial Unicode MS" w:hAnsiTheme="minorHAnsi" w:cstheme="minorHAnsi"/>
                <w:b/>
                <w:color w:val="FFFFFF" w:themeColor="background1"/>
                <w:sz w:val="22"/>
                <w:szCs w:val="22"/>
              </w:rPr>
              <w:t>KEY POINTS</w:t>
            </w:r>
          </w:p>
        </w:tc>
      </w:tr>
      <w:tr w:rsidR="006A3F5B" w:rsidRPr="005F0AA6" w:rsidTr="0044493B">
        <w:trPr>
          <w:trHeight w:val="3225"/>
        </w:trPr>
        <w:tc>
          <w:tcPr>
            <w:tcW w:w="9039" w:type="dxa"/>
            <w:tcBorders>
              <w:top w:val="single" w:sz="4" w:space="0" w:color="42D0B8"/>
              <w:left w:val="single" w:sz="4" w:space="0" w:color="42D0B8"/>
              <w:bottom w:val="single" w:sz="4" w:space="0" w:color="42D0B8"/>
              <w:right w:val="single" w:sz="4" w:space="0" w:color="42D0B8"/>
            </w:tcBorders>
            <w:shd w:val="clear" w:color="auto" w:fill="auto"/>
          </w:tcPr>
          <w:p w:rsidR="00BC0B44" w:rsidRDefault="00BC0B44" w:rsidP="0003585F">
            <w:pPr>
              <w:pStyle w:val="ListParagraph"/>
              <w:numPr>
                <w:ilvl w:val="0"/>
                <w:numId w:val="26"/>
              </w:numPr>
              <w:spacing w:before="60" w:after="0" w:line="240" w:lineRule="auto"/>
              <w:ind w:left="426" w:hanging="284"/>
              <w:contextualSpacing w:val="0"/>
              <w:jc w:val="both"/>
              <w:rPr>
                <w:rFonts w:asciiTheme="minorHAnsi" w:eastAsia="Arial Unicode MS" w:hAnsiTheme="minorHAnsi" w:cstheme="minorHAnsi"/>
              </w:rPr>
            </w:pPr>
            <w:r w:rsidRPr="002A2F79">
              <w:rPr>
                <w:rFonts w:asciiTheme="minorHAnsi" w:eastAsia="Arial Unicode MS" w:hAnsiTheme="minorHAnsi" w:cstheme="minorHAnsi"/>
              </w:rPr>
              <w:t>Smoking affects good oral health, and dental treatment outcomes</w:t>
            </w:r>
          </w:p>
          <w:p w:rsidR="004A46DC" w:rsidRDefault="004A46DC" w:rsidP="004A46DC">
            <w:pPr>
              <w:pStyle w:val="ListParagraph"/>
              <w:numPr>
                <w:ilvl w:val="0"/>
                <w:numId w:val="26"/>
              </w:numPr>
              <w:spacing w:before="60" w:after="0" w:line="240" w:lineRule="auto"/>
              <w:ind w:left="426" w:hanging="284"/>
              <w:contextualSpacing w:val="0"/>
              <w:jc w:val="both"/>
              <w:rPr>
                <w:rFonts w:asciiTheme="minorHAnsi" w:eastAsia="Arial Unicode MS" w:hAnsiTheme="minorHAnsi" w:cstheme="minorHAnsi"/>
              </w:rPr>
            </w:pPr>
            <w:r w:rsidRPr="00E65FE2">
              <w:rPr>
                <w:rFonts w:asciiTheme="minorHAnsi" w:eastAsia="Arial Unicode MS" w:hAnsiTheme="minorHAnsi" w:cstheme="minorHAnsi"/>
              </w:rPr>
              <w:t>Smoking is a health epidemic disproportionately affecting Māori</w:t>
            </w:r>
          </w:p>
          <w:p w:rsidR="00BC0B44" w:rsidRPr="002A2F79" w:rsidRDefault="0044493B" w:rsidP="0003585F">
            <w:pPr>
              <w:pStyle w:val="ListParagraph"/>
              <w:numPr>
                <w:ilvl w:val="0"/>
                <w:numId w:val="26"/>
              </w:numPr>
              <w:spacing w:before="60" w:after="0" w:line="240" w:lineRule="auto"/>
              <w:ind w:left="426" w:hanging="284"/>
              <w:contextualSpacing w:val="0"/>
              <w:jc w:val="both"/>
              <w:rPr>
                <w:rFonts w:asciiTheme="minorHAnsi" w:eastAsia="Arial Unicode MS" w:hAnsiTheme="minorHAnsi" w:cstheme="minorHAnsi"/>
              </w:rPr>
            </w:pPr>
            <w:r>
              <w:rPr>
                <w:rFonts w:asciiTheme="minorHAnsi" w:eastAsia="Arial Unicode MS" w:hAnsiTheme="minorHAnsi" w:cstheme="minorHAnsi"/>
              </w:rPr>
              <w:t>Attention should be paid to</w:t>
            </w:r>
            <w:r w:rsidR="00BC0B44" w:rsidRPr="002A2F79">
              <w:rPr>
                <w:rFonts w:asciiTheme="minorHAnsi" w:eastAsia="Arial Unicode MS" w:hAnsiTheme="minorHAnsi" w:cstheme="minorHAnsi"/>
              </w:rPr>
              <w:t xml:space="preserve"> </w:t>
            </w:r>
            <w:r>
              <w:rPr>
                <w:rFonts w:asciiTheme="minorHAnsi" w:eastAsia="Arial Unicode MS" w:hAnsiTheme="minorHAnsi" w:cstheme="minorHAnsi"/>
              </w:rPr>
              <w:t xml:space="preserve">pregnant women, and </w:t>
            </w:r>
            <w:r w:rsidR="00BC0B44" w:rsidRPr="002A2F79">
              <w:rPr>
                <w:rFonts w:asciiTheme="minorHAnsi" w:eastAsia="Arial Unicode MS" w:hAnsiTheme="minorHAnsi" w:cstheme="minorHAnsi"/>
              </w:rPr>
              <w:t>wh</w:t>
            </w:r>
            <w:r w:rsidR="00A45D1C">
              <w:rPr>
                <w:rFonts w:asciiTheme="minorHAnsi" w:eastAsia="Arial Unicode MS" w:hAnsiTheme="minorHAnsi" w:cstheme="minorHAnsi"/>
              </w:rPr>
              <w:t>ā</w:t>
            </w:r>
            <w:r w:rsidR="00BC0B44" w:rsidRPr="002A2F79">
              <w:rPr>
                <w:rFonts w:asciiTheme="minorHAnsi" w:eastAsia="Arial Unicode MS" w:hAnsiTheme="minorHAnsi" w:cstheme="minorHAnsi"/>
              </w:rPr>
              <w:t xml:space="preserve">nau </w:t>
            </w:r>
            <w:r>
              <w:rPr>
                <w:rFonts w:asciiTheme="minorHAnsi" w:eastAsia="Arial Unicode MS" w:hAnsiTheme="minorHAnsi" w:cstheme="minorHAnsi"/>
              </w:rPr>
              <w:t xml:space="preserve">of tamariki who smoke </w:t>
            </w:r>
          </w:p>
          <w:p w:rsidR="00BC0B44" w:rsidRPr="002A2F79" w:rsidRDefault="00BC0B44" w:rsidP="0003585F">
            <w:pPr>
              <w:pStyle w:val="ListParagraph"/>
              <w:numPr>
                <w:ilvl w:val="0"/>
                <w:numId w:val="26"/>
              </w:numPr>
              <w:spacing w:before="60" w:after="0" w:line="240" w:lineRule="auto"/>
              <w:ind w:left="426" w:hanging="284"/>
              <w:contextualSpacing w:val="0"/>
              <w:jc w:val="both"/>
              <w:rPr>
                <w:rFonts w:asciiTheme="minorHAnsi" w:eastAsia="Arial Unicode MS" w:hAnsiTheme="minorHAnsi" w:cstheme="minorHAnsi"/>
              </w:rPr>
            </w:pPr>
            <w:r w:rsidRPr="00E65FE2">
              <w:rPr>
                <w:rFonts w:asciiTheme="minorHAnsi" w:eastAsia="Arial Unicode MS" w:hAnsiTheme="minorHAnsi" w:cstheme="minorHAnsi"/>
              </w:rPr>
              <w:t xml:space="preserve">All health workers, regardless of their location, speciality or seniority, have a responsibility to </w:t>
            </w:r>
            <w:r>
              <w:rPr>
                <w:rFonts w:asciiTheme="minorHAnsi" w:eastAsia="Arial Unicode MS" w:hAnsiTheme="minorHAnsi" w:cstheme="minorHAnsi"/>
              </w:rPr>
              <w:t>motivate people who smoke to quit and to</w:t>
            </w:r>
            <w:r w:rsidRPr="00E65FE2">
              <w:rPr>
                <w:rFonts w:asciiTheme="minorHAnsi" w:eastAsia="Arial Unicode MS" w:hAnsiTheme="minorHAnsi" w:cstheme="minorHAnsi"/>
              </w:rPr>
              <w:t xml:space="preserve"> assist </w:t>
            </w:r>
            <w:r>
              <w:rPr>
                <w:rFonts w:asciiTheme="minorHAnsi" w:eastAsia="Arial Unicode MS" w:hAnsiTheme="minorHAnsi" w:cstheme="minorHAnsi"/>
              </w:rPr>
              <w:t>them in doing so</w:t>
            </w:r>
          </w:p>
          <w:p w:rsidR="00BC0B44" w:rsidRPr="002A2F79" w:rsidRDefault="00BC0B44" w:rsidP="0003585F">
            <w:pPr>
              <w:pStyle w:val="ListParagraph"/>
              <w:numPr>
                <w:ilvl w:val="0"/>
                <w:numId w:val="26"/>
              </w:numPr>
              <w:spacing w:before="60" w:after="0" w:line="240" w:lineRule="auto"/>
              <w:ind w:left="426" w:hanging="284"/>
              <w:contextualSpacing w:val="0"/>
              <w:jc w:val="both"/>
              <w:rPr>
                <w:rFonts w:asciiTheme="minorHAnsi" w:eastAsia="Arial Unicode MS" w:hAnsiTheme="minorHAnsi" w:cstheme="minorHAnsi"/>
              </w:rPr>
            </w:pPr>
            <w:r w:rsidRPr="00E65FE2">
              <w:rPr>
                <w:rFonts w:asciiTheme="minorHAnsi" w:eastAsia="Arial Unicode MS" w:hAnsiTheme="minorHAnsi" w:cstheme="minorHAnsi"/>
              </w:rPr>
              <w:t xml:space="preserve">Dentists and primary health care professionals have an important role to play in </w:t>
            </w:r>
            <w:r>
              <w:rPr>
                <w:rFonts w:asciiTheme="minorHAnsi" w:eastAsia="Arial Unicode MS" w:hAnsiTheme="minorHAnsi" w:cstheme="minorHAnsi"/>
              </w:rPr>
              <w:t>screening for tobacco use, making an offer of treatment</w:t>
            </w:r>
            <w:r w:rsidRPr="00E65FE2">
              <w:rPr>
                <w:rFonts w:asciiTheme="minorHAnsi" w:eastAsia="Arial Unicode MS" w:hAnsiTheme="minorHAnsi" w:cstheme="minorHAnsi"/>
              </w:rPr>
              <w:t xml:space="preserve"> and, referring people who </w:t>
            </w:r>
            <w:r w:rsidR="00631A99">
              <w:rPr>
                <w:rFonts w:asciiTheme="minorHAnsi" w:eastAsia="Arial Unicode MS" w:hAnsiTheme="minorHAnsi" w:cstheme="minorHAnsi"/>
              </w:rPr>
              <w:t xml:space="preserve">want help </w:t>
            </w:r>
            <w:r>
              <w:rPr>
                <w:rFonts w:asciiTheme="minorHAnsi" w:eastAsia="Arial Unicode MS" w:hAnsiTheme="minorHAnsi" w:cstheme="minorHAnsi"/>
              </w:rPr>
              <w:t>quitting</w:t>
            </w:r>
            <w:r w:rsidRPr="00E65FE2">
              <w:rPr>
                <w:rFonts w:asciiTheme="minorHAnsi" w:eastAsia="Arial Unicode MS" w:hAnsiTheme="minorHAnsi" w:cstheme="minorHAnsi"/>
              </w:rPr>
              <w:t xml:space="preserve"> to cessation services</w:t>
            </w:r>
            <w:r>
              <w:rPr>
                <w:rFonts w:asciiTheme="minorHAnsi" w:eastAsia="Arial Unicode MS" w:hAnsiTheme="minorHAnsi" w:cstheme="minorHAnsi"/>
              </w:rPr>
              <w:t xml:space="preserve"> or providing this assistance themselves</w:t>
            </w:r>
          </w:p>
          <w:p w:rsidR="00BC0B44" w:rsidRDefault="00BC0B44" w:rsidP="0003585F">
            <w:pPr>
              <w:pStyle w:val="ListParagraph"/>
              <w:numPr>
                <w:ilvl w:val="0"/>
                <w:numId w:val="26"/>
              </w:numPr>
              <w:spacing w:before="60" w:after="0" w:line="240" w:lineRule="auto"/>
              <w:ind w:left="426" w:hanging="284"/>
              <w:contextualSpacing w:val="0"/>
              <w:jc w:val="both"/>
              <w:rPr>
                <w:rFonts w:asciiTheme="minorHAnsi" w:eastAsia="Arial Unicode MS" w:hAnsiTheme="minorHAnsi" w:cstheme="minorHAnsi"/>
              </w:rPr>
            </w:pPr>
            <w:r>
              <w:rPr>
                <w:rFonts w:asciiTheme="minorHAnsi" w:eastAsia="Arial Unicode MS" w:hAnsiTheme="minorHAnsi" w:cstheme="minorHAnsi"/>
              </w:rPr>
              <w:t>Most people who smoke want to quit and will be grateful for your advice</w:t>
            </w:r>
          </w:p>
          <w:p w:rsidR="002A2F79" w:rsidRPr="002A2F79" w:rsidRDefault="00BC0B44" w:rsidP="0003585F">
            <w:pPr>
              <w:pStyle w:val="ListParagraph"/>
              <w:numPr>
                <w:ilvl w:val="0"/>
                <w:numId w:val="26"/>
              </w:numPr>
              <w:spacing w:before="60" w:after="0" w:line="240" w:lineRule="auto"/>
              <w:ind w:left="426" w:hanging="284"/>
              <w:contextualSpacing w:val="0"/>
              <w:jc w:val="both"/>
              <w:rPr>
                <w:rFonts w:asciiTheme="minorHAnsi" w:eastAsia="Arial Unicode MS" w:hAnsiTheme="minorHAnsi" w:cstheme="minorHAnsi"/>
              </w:rPr>
            </w:pPr>
            <w:r>
              <w:rPr>
                <w:rFonts w:asciiTheme="minorHAnsi" w:eastAsia="Arial Unicode MS" w:hAnsiTheme="minorHAnsi" w:cstheme="minorHAnsi"/>
              </w:rPr>
              <w:t>There are a range of effective options available to people who want help in quitting</w:t>
            </w:r>
          </w:p>
        </w:tc>
      </w:tr>
      <w:tr w:rsidR="002A2F79" w:rsidRPr="005F0AA6" w:rsidTr="0003585F">
        <w:trPr>
          <w:trHeight w:val="414"/>
        </w:trPr>
        <w:tc>
          <w:tcPr>
            <w:tcW w:w="9039" w:type="dxa"/>
            <w:tcBorders>
              <w:top w:val="single" w:sz="4" w:space="0" w:color="42D0B8"/>
              <w:left w:val="single" w:sz="8" w:space="0" w:color="9BBB59" w:themeColor="accent3"/>
              <w:bottom w:val="single" w:sz="4" w:space="0" w:color="42D0B8"/>
              <w:right w:val="single" w:sz="8" w:space="0" w:color="9BBB59" w:themeColor="accent3"/>
            </w:tcBorders>
            <w:shd w:val="clear" w:color="auto" w:fill="42D0B8"/>
          </w:tcPr>
          <w:p w:rsidR="002A2F79" w:rsidRPr="00E65FE2" w:rsidRDefault="002A2F79" w:rsidP="00D57B50">
            <w:pPr>
              <w:spacing w:before="120" w:after="120"/>
              <w:jc w:val="both"/>
              <w:rPr>
                <w:rFonts w:asciiTheme="minorHAnsi" w:eastAsia="Arial Unicode MS" w:hAnsiTheme="minorHAnsi" w:cstheme="minorHAnsi"/>
                <w:b/>
                <w:color w:val="FFFFFF" w:themeColor="background1"/>
                <w:sz w:val="22"/>
                <w:szCs w:val="22"/>
              </w:rPr>
            </w:pPr>
            <w:r>
              <w:rPr>
                <w:rFonts w:asciiTheme="minorHAnsi" w:eastAsia="Arial Unicode MS" w:hAnsiTheme="minorHAnsi" w:cstheme="minorHAnsi"/>
                <w:b/>
                <w:color w:val="FFFFFF" w:themeColor="background1"/>
                <w:sz w:val="22"/>
                <w:szCs w:val="22"/>
              </w:rPr>
              <w:t>RECOMMENDATIONS</w:t>
            </w:r>
          </w:p>
        </w:tc>
      </w:tr>
      <w:tr w:rsidR="002D3B17" w:rsidRPr="005F0AA6" w:rsidTr="004A46DC">
        <w:trPr>
          <w:trHeight w:val="2597"/>
        </w:trPr>
        <w:tc>
          <w:tcPr>
            <w:tcW w:w="9039" w:type="dxa"/>
            <w:tcBorders>
              <w:top w:val="single" w:sz="4" w:space="0" w:color="42D0B8"/>
              <w:left w:val="single" w:sz="4" w:space="0" w:color="42D0B8"/>
              <w:bottom w:val="single" w:sz="4" w:space="0" w:color="42D0B8"/>
              <w:right w:val="single" w:sz="4" w:space="0" w:color="42D0B8"/>
            </w:tcBorders>
            <w:shd w:val="clear" w:color="auto" w:fill="auto"/>
          </w:tcPr>
          <w:p w:rsidR="002D3B17" w:rsidRPr="00E65FE2" w:rsidRDefault="002D3B17" w:rsidP="00B67900">
            <w:pPr>
              <w:spacing w:before="120" w:after="120"/>
              <w:jc w:val="both"/>
              <w:rPr>
                <w:rFonts w:asciiTheme="minorHAnsi" w:eastAsia="Arial Unicode MS" w:hAnsiTheme="minorHAnsi" w:cstheme="minorHAnsi"/>
                <w:b/>
                <w:sz w:val="22"/>
                <w:szCs w:val="22"/>
              </w:rPr>
            </w:pPr>
            <w:r w:rsidRPr="00E65FE2">
              <w:rPr>
                <w:rFonts w:asciiTheme="minorHAnsi" w:eastAsia="Arial Unicode MS" w:hAnsiTheme="minorHAnsi" w:cstheme="minorHAnsi"/>
                <w:b/>
                <w:sz w:val="22"/>
                <w:szCs w:val="22"/>
              </w:rPr>
              <w:t>KNOWLEDGE</w:t>
            </w:r>
          </w:p>
          <w:p w:rsidR="002D3B17" w:rsidRDefault="002D3B17" w:rsidP="0003585F">
            <w:pPr>
              <w:pStyle w:val="ListParagraph"/>
              <w:numPr>
                <w:ilvl w:val="0"/>
                <w:numId w:val="26"/>
              </w:numPr>
              <w:spacing w:before="60" w:after="0" w:line="240" w:lineRule="auto"/>
              <w:ind w:left="426" w:hanging="284"/>
              <w:contextualSpacing w:val="0"/>
              <w:jc w:val="both"/>
              <w:rPr>
                <w:rFonts w:asciiTheme="minorHAnsi" w:eastAsia="Arial Unicode MS" w:hAnsiTheme="minorHAnsi" w:cstheme="minorHAnsi"/>
              </w:rPr>
            </w:pPr>
            <w:r w:rsidRPr="00E65FE2">
              <w:rPr>
                <w:rFonts w:asciiTheme="minorHAnsi" w:eastAsia="Arial Unicode MS" w:hAnsiTheme="minorHAnsi" w:cstheme="minorHAnsi"/>
              </w:rPr>
              <w:t>Patient information is available at every point of care  to ensure clinicians (Dentist, Dental T</w:t>
            </w:r>
            <w:r w:rsidR="00631A99">
              <w:rPr>
                <w:rFonts w:asciiTheme="minorHAnsi" w:eastAsia="Arial Unicode MS" w:hAnsiTheme="minorHAnsi" w:cstheme="minorHAnsi"/>
              </w:rPr>
              <w:t>herapist</w:t>
            </w:r>
            <w:r>
              <w:rPr>
                <w:rFonts w:asciiTheme="minorHAnsi" w:eastAsia="Arial Unicode MS" w:hAnsiTheme="minorHAnsi" w:cstheme="minorHAnsi"/>
              </w:rPr>
              <w:t>, appropriate primary health care practitioner</w:t>
            </w:r>
            <w:r w:rsidRPr="00E65FE2">
              <w:rPr>
                <w:rFonts w:asciiTheme="minorHAnsi" w:eastAsia="Arial Unicode MS" w:hAnsiTheme="minorHAnsi" w:cstheme="minorHAnsi"/>
              </w:rPr>
              <w:t>) are informed about patient health status (B)</w:t>
            </w:r>
          </w:p>
          <w:p w:rsidR="002D3B17" w:rsidRPr="00E65FE2" w:rsidRDefault="002D3B17" w:rsidP="004A46DC">
            <w:pPr>
              <w:pStyle w:val="ListParagraph"/>
              <w:numPr>
                <w:ilvl w:val="0"/>
                <w:numId w:val="26"/>
              </w:numPr>
              <w:spacing w:before="60" w:after="60" w:line="240" w:lineRule="auto"/>
              <w:ind w:left="426" w:hanging="284"/>
              <w:contextualSpacing w:val="0"/>
              <w:jc w:val="both"/>
              <w:rPr>
                <w:rFonts w:asciiTheme="minorHAnsi" w:eastAsia="Arial Unicode MS" w:hAnsiTheme="minorHAnsi" w:cstheme="minorHAnsi"/>
              </w:rPr>
            </w:pPr>
            <w:r w:rsidRPr="00E65FE2">
              <w:rPr>
                <w:rFonts w:asciiTheme="minorHAnsi" w:eastAsia="Arial Unicode MS" w:hAnsiTheme="minorHAnsi" w:cstheme="minorHAnsi"/>
              </w:rPr>
              <w:t>Attend or instigate inter-service m</w:t>
            </w:r>
            <w:r>
              <w:rPr>
                <w:rFonts w:asciiTheme="minorHAnsi" w:eastAsia="Arial Unicode MS" w:hAnsiTheme="minorHAnsi" w:cstheme="minorHAnsi"/>
              </w:rPr>
              <w:t>e</w:t>
            </w:r>
            <w:r w:rsidR="004A46DC">
              <w:rPr>
                <w:rFonts w:asciiTheme="minorHAnsi" w:eastAsia="Arial Unicode MS" w:hAnsiTheme="minorHAnsi" w:cstheme="minorHAnsi"/>
              </w:rPr>
              <w:t xml:space="preserve">etings (Primary health care, </w:t>
            </w:r>
            <w:r w:rsidRPr="00E65FE2">
              <w:rPr>
                <w:rFonts w:asciiTheme="minorHAnsi" w:eastAsia="Arial Unicode MS" w:hAnsiTheme="minorHAnsi" w:cstheme="minorHAnsi"/>
              </w:rPr>
              <w:t xml:space="preserve">Cessation Services/Aukati Kaipaipa, </w:t>
            </w:r>
            <w:r w:rsidR="004A46DC">
              <w:rPr>
                <w:rFonts w:asciiTheme="minorHAnsi" w:eastAsia="Arial Unicode MS" w:hAnsiTheme="minorHAnsi" w:cstheme="minorHAnsi"/>
              </w:rPr>
              <w:t>Well</w:t>
            </w:r>
            <w:r w:rsidR="00A45D1C">
              <w:rPr>
                <w:rFonts w:asciiTheme="minorHAnsi" w:eastAsia="Arial Unicode MS" w:hAnsiTheme="minorHAnsi" w:cstheme="minorHAnsi"/>
              </w:rPr>
              <w:t xml:space="preserve"> </w:t>
            </w:r>
            <w:r w:rsidR="004A46DC">
              <w:rPr>
                <w:rFonts w:asciiTheme="minorHAnsi" w:eastAsia="Arial Unicode MS" w:hAnsiTheme="minorHAnsi" w:cstheme="minorHAnsi"/>
              </w:rPr>
              <w:t>Child/Tamariki Ora</w:t>
            </w:r>
            <w:r w:rsidRPr="00E65FE2">
              <w:rPr>
                <w:rFonts w:asciiTheme="minorHAnsi" w:eastAsia="Arial Unicode MS" w:hAnsiTheme="minorHAnsi" w:cstheme="minorHAnsi"/>
              </w:rPr>
              <w:t xml:space="preserve">, Lead Maternity Carers) to ensure </w:t>
            </w:r>
            <w:r w:rsidR="004A46DC">
              <w:rPr>
                <w:rFonts w:asciiTheme="minorHAnsi" w:eastAsia="Arial Unicode MS" w:hAnsiTheme="minorHAnsi" w:cstheme="minorHAnsi"/>
              </w:rPr>
              <w:t>quality and continuity of care.</w:t>
            </w:r>
            <w:r w:rsidRPr="00E65FE2">
              <w:rPr>
                <w:rFonts w:asciiTheme="minorHAnsi" w:eastAsia="Arial Unicode MS" w:hAnsiTheme="minorHAnsi" w:cstheme="minorHAnsi"/>
              </w:rPr>
              <w:t xml:space="preserve"> These hui may discuss how respective services can facilitate access to smoking</w:t>
            </w:r>
            <w:r>
              <w:rPr>
                <w:rFonts w:asciiTheme="minorHAnsi" w:eastAsia="Arial Unicode MS" w:hAnsiTheme="minorHAnsi" w:cstheme="minorHAnsi"/>
              </w:rPr>
              <w:t xml:space="preserve"> </w:t>
            </w:r>
            <w:r w:rsidR="004A46DC">
              <w:rPr>
                <w:rFonts w:asciiTheme="minorHAnsi" w:eastAsia="Arial Unicode MS" w:hAnsiTheme="minorHAnsi" w:cstheme="minorHAnsi"/>
              </w:rPr>
              <w:t xml:space="preserve">cessation support, </w:t>
            </w:r>
            <w:r w:rsidRPr="00E65FE2">
              <w:rPr>
                <w:rFonts w:asciiTheme="minorHAnsi" w:eastAsia="Arial Unicode MS" w:hAnsiTheme="minorHAnsi" w:cstheme="minorHAnsi"/>
              </w:rPr>
              <w:t>development</w:t>
            </w:r>
            <w:r w:rsidR="004A46DC">
              <w:rPr>
                <w:rFonts w:asciiTheme="minorHAnsi" w:eastAsia="Arial Unicode MS" w:hAnsiTheme="minorHAnsi" w:cstheme="minorHAnsi"/>
              </w:rPr>
              <w:t xml:space="preserve"> and implementation</w:t>
            </w:r>
            <w:r w:rsidRPr="00E65FE2">
              <w:rPr>
                <w:rFonts w:asciiTheme="minorHAnsi" w:eastAsia="Arial Unicode MS" w:hAnsiTheme="minorHAnsi" w:cstheme="minorHAnsi"/>
              </w:rPr>
              <w:t xml:space="preserve"> of formal (two-way) referral</w:t>
            </w:r>
            <w:r>
              <w:rPr>
                <w:rFonts w:asciiTheme="minorHAnsi" w:eastAsia="Arial Unicode MS" w:hAnsiTheme="minorHAnsi" w:cstheme="minorHAnsi"/>
              </w:rPr>
              <w:t xml:space="preserve"> </w:t>
            </w:r>
            <w:r w:rsidR="004A46DC">
              <w:rPr>
                <w:rFonts w:asciiTheme="minorHAnsi" w:eastAsia="Arial Unicode MS" w:hAnsiTheme="minorHAnsi" w:cstheme="minorHAnsi"/>
              </w:rPr>
              <w:t>processes</w:t>
            </w:r>
            <w:r w:rsidRPr="00E65FE2">
              <w:rPr>
                <w:rFonts w:asciiTheme="minorHAnsi" w:eastAsia="Arial Unicode MS" w:hAnsiTheme="minorHAnsi" w:cstheme="minorHAnsi"/>
              </w:rPr>
              <w:t xml:space="preserve"> (B)</w:t>
            </w:r>
          </w:p>
        </w:tc>
      </w:tr>
      <w:tr w:rsidR="0044493B" w:rsidRPr="005F0AA6" w:rsidTr="00916DC5">
        <w:trPr>
          <w:trHeight w:val="2684"/>
        </w:trPr>
        <w:tc>
          <w:tcPr>
            <w:tcW w:w="9039" w:type="dxa"/>
            <w:tcBorders>
              <w:top w:val="single" w:sz="4" w:space="0" w:color="42D0B8"/>
              <w:left w:val="single" w:sz="4" w:space="0" w:color="42D0B8"/>
              <w:bottom w:val="single" w:sz="4" w:space="0" w:color="42D0B8"/>
              <w:right w:val="single" w:sz="4" w:space="0" w:color="42D0B8"/>
            </w:tcBorders>
            <w:shd w:val="clear" w:color="auto" w:fill="auto"/>
          </w:tcPr>
          <w:p w:rsidR="0044493B" w:rsidRPr="00E65FE2" w:rsidRDefault="0044493B" w:rsidP="0044493B">
            <w:pPr>
              <w:spacing w:before="120" w:after="120"/>
              <w:jc w:val="both"/>
              <w:rPr>
                <w:rFonts w:asciiTheme="minorHAnsi" w:eastAsia="Arial Unicode MS" w:hAnsiTheme="minorHAnsi" w:cstheme="minorHAnsi"/>
                <w:b/>
                <w:sz w:val="22"/>
                <w:szCs w:val="22"/>
              </w:rPr>
            </w:pPr>
            <w:r w:rsidRPr="00E65FE2">
              <w:rPr>
                <w:rFonts w:asciiTheme="minorHAnsi" w:eastAsia="Arial Unicode MS" w:hAnsiTheme="minorHAnsi" w:cstheme="minorHAnsi"/>
                <w:b/>
                <w:sz w:val="22"/>
                <w:szCs w:val="22"/>
              </w:rPr>
              <w:t>SYSTEMS</w:t>
            </w:r>
          </w:p>
          <w:p w:rsidR="0044493B" w:rsidRPr="00E65FE2" w:rsidRDefault="0044493B" w:rsidP="0044493B">
            <w:pPr>
              <w:pStyle w:val="ListParagraph"/>
              <w:numPr>
                <w:ilvl w:val="0"/>
                <w:numId w:val="26"/>
              </w:numPr>
              <w:spacing w:before="60" w:after="0" w:line="240" w:lineRule="auto"/>
              <w:ind w:left="426" w:hanging="284"/>
              <w:contextualSpacing w:val="0"/>
              <w:jc w:val="both"/>
              <w:rPr>
                <w:rFonts w:asciiTheme="minorHAnsi" w:eastAsia="Arial Unicode MS" w:hAnsiTheme="minorHAnsi" w:cstheme="minorHAnsi"/>
              </w:rPr>
            </w:pPr>
            <w:r w:rsidRPr="00E65FE2">
              <w:rPr>
                <w:rFonts w:asciiTheme="minorHAnsi" w:eastAsia="Arial Unicode MS" w:hAnsiTheme="minorHAnsi" w:cstheme="minorHAnsi"/>
              </w:rPr>
              <w:t>MOHP and Primar</w:t>
            </w:r>
            <w:r>
              <w:rPr>
                <w:rFonts w:asciiTheme="minorHAnsi" w:eastAsia="Arial Unicode MS" w:hAnsiTheme="minorHAnsi" w:cstheme="minorHAnsi"/>
              </w:rPr>
              <w:t>y Care P</w:t>
            </w:r>
            <w:r w:rsidRPr="00E65FE2">
              <w:rPr>
                <w:rFonts w:asciiTheme="minorHAnsi" w:eastAsia="Arial Unicode MS" w:hAnsiTheme="minorHAnsi" w:cstheme="minorHAnsi"/>
              </w:rPr>
              <w:t>ractices</w:t>
            </w:r>
            <w:r>
              <w:rPr>
                <w:rFonts w:asciiTheme="minorHAnsi" w:eastAsia="Arial Unicode MS" w:hAnsiTheme="minorHAnsi" w:cstheme="minorHAnsi"/>
              </w:rPr>
              <w:t xml:space="preserve"> have</w:t>
            </w:r>
            <w:r w:rsidRPr="00E65FE2">
              <w:rPr>
                <w:rFonts w:asciiTheme="minorHAnsi" w:eastAsia="Arial Unicode MS" w:hAnsiTheme="minorHAnsi" w:cstheme="minorHAnsi"/>
              </w:rPr>
              <w:t xml:space="preserve"> information system</w:t>
            </w:r>
            <w:r>
              <w:rPr>
                <w:rFonts w:asciiTheme="minorHAnsi" w:eastAsia="Arial Unicode MS" w:hAnsiTheme="minorHAnsi" w:cstheme="minorHAnsi"/>
              </w:rPr>
              <w:t>s</w:t>
            </w:r>
            <w:r w:rsidRPr="00E65FE2">
              <w:rPr>
                <w:rFonts w:asciiTheme="minorHAnsi" w:eastAsia="Arial Unicode MS" w:hAnsiTheme="minorHAnsi" w:cstheme="minorHAnsi"/>
              </w:rPr>
              <w:t xml:space="preserve"> that enable the exchange</w:t>
            </w:r>
            <w:r>
              <w:rPr>
                <w:rFonts w:asciiTheme="minorHAnsi" w:eastAsia="Arial Unicode MS" w:hAnsiTheme="minorHAnsi" w:cstheme="minorHAnsi"/>
              </w:rPr>
              <w:t xml:space="preserve"> of, </w:t>
            </w:r>
            <w:r w:rsidRPr="00E65FE2">
              <w:rPr>
                <w:rFonts w:asciiTheme="minorHAnsi" w:eastAsia="Arial Unicode MS" w:hAnsiTheme="minorHAnsi" w:cstheme="minorHAnsi"/>
              </w:rPr>
              <w:t>and access to</w:t>
            </w:r>
            <w:r>
              <w:rPr>
                <w:rFonts w:asciiTheme="minorHAnsi" w:eastAsia="Arial Unicode MS" w:hAnsiTheme="minorHAnsi" w:cstheme="minorHAnsi"/>
              </w:rPr>
              <w:t>,</w:t>
            </w:r>
            <w:r w:rsidRPr="00E65FE2">
              <w:rPr>
                <w:rFonts w:asciiTheme="minorHAnsi" w:eastAsia="Arial Unicode MS" w:hAnsiTheme="minorHAnsi" w:cstheme="minorHAnsi"/>
              </w:rPr>
              <w:t xml:space="preserve"> pat</w:t>
            </w:r>
            <w:r>
              <w:rPr>
                <w:rFonts w:asciiTheme="minorHAnsi" w:eastAsia="Arial Unicode MS" w:hAnsiTheme="minorHAnsi" w:cstheme="minorHAnsi"/>
              </w:rPr>
              <w:t xml:space="preserve">ient information </w:t>
            </w:r>
            <w:r w:rsidRPr="00E65FE2">
              <w:rPr>
                <w:rFonts w:asciiTheme="minorHAnsi" w:eastAsia="Arial Unicode MS" w:hAnsiTheme="minorHAnsi" w:cstheme="minorHAnsi"/>
              </w:rPr>
              <w:t>to inform patient care decisions and pathways (B)</w:t>
            </w:r>
          </w:p>
          <w:p w:rsidR="0044493B" w:rsidRPr="00E65FE2" w:rsidRDefault="0044493B" w:rsidP="0044493B">
            <w:pPr>
              <w:spacing w:before="240" w:after="120"/>
              <w:jc w:val="both"/>
              <w:rPr>
                <w:rFonts w:asciiTheme="minorHAnsi" w:eastAsia="Arial Unicode MS" w:hAnsiTheme="minorHAnsi" w:cstheme="minorHAnsi"/>
                <w:b/>
                <w:sz w:val="22"/>
              </w:rPr>
            </w:pPr>
            <w:r>
              <w:rPr>
                <w:rFonts w:asciiTheme="minorHAnsi" w:eastAsia="Arial Unicode MS" w:hAnsiTheme="minorHAnsi" w:cstheme="minorHAnsi"/>
                <w:b/>
                <w:sz w:val="22"/>
              </w:rPr>
              <w:t xml:space="preserve">Oral health </w:t>
            </w:r>
            <w:r w:rsidRPr="00B91DEA">
              <w:rPr>
                <w:rFonts w:asciiTheme="minorHAnsi" w:eastAsia="Arial Unicode MS" w:hAnsiTheme="minorHAnsi" w:cstheme="minorHAnsi"/>
                <w:b/>
                <w:sz w:val="22"/>
              </w:rPr>
              <w:t>practitioners must:</w:t>
            </w:r>
          </w:p>
          <w:p w:rsidR="0044493B" w:rsidRPr="00E65FE2" w:rsidRDefault="0044493B" w:rsidP="0044493B">
            <w:pPr>
              <w:pStyle w:val="ListParagraph"/>
              <w:numPr>
                <w:ilvl w:val="0"/>
                <w:numId w:val="26"/>
              </w:numPr>
              <w:spacing w:before="60" w:after="0" w:line="240" w:lineRule="auto"/>
              <w:ind w:left="426" w:hanging="284"/>
              <w:contextualSpacing w:val="0"/>
              <w:jc w:val="both"/>
              <w:rPr>
                <w:rFonts w:asciiTheme="minorHAnsi" w:eastAsia="Arial Unicode MS" w:hAnsiTheme="minorHAnsi" w:cstheme="minorHAnsi"/>
              </w:rPr>
            </w:pPr>
            <w:r w:rsidRPr="00E65FE2">
              <w:rPr>
                <w:rFonts w:asciiTheme="minorHAnsi" w:eastAsia="Arial Unicode MS" w:hAnsiTheme="minorHAnsi" w:cstheme="minorHAnsi"/>
              </w:rPr>
              <w:t>Ask patients their smoking status at regular intervals</w:t>
            </w:r>
            <w:r>
              <w:rPr>
                <w:rFonts w:asciiTheme="minorHAnsi" w:eastAsia="Arial Unicode MS" w:hAnsiTheme="minorHAnsi" w:cstheme="minorHAnsi"/>
              </w:rPr>
              <w:t xml:space="preserve"> (A) with an increased focus on young people, pregnant women, smokers, and recent ex-smokers</w:t>
            </w:r>
            <w:r w:rsidRPr="00E65FE2">
              <w:rPr>
                <w:rFonts w:asciiTheme="minorHAnsi" w:eastAsia="Arial Unicode MS" w:hAnsiTheme="minorHAnsi" w:cstheme="minorHAnsi"/>
              </w:rPr>
              <w:t xml:space="preserve"> (A)</w:t>
            </w:r>
            <w:r>
              <w:rPr>
                <w:rFonts w:asciiTheme="minorHAnsi" w:eastAsia="Arial Unicode MS" w:hAnsiTheme="minorHAnsi" w:cstheme="minorHAnsi"/>
              </w:rPr>
              <w:t xml:space="preserve"> </w:t>
            </w:r>
          </w:p>
          <w:p w:rsidR="0044493B" w:rsidRPr="00E65FE2" w:rsidRDefault="0044493B" w:rsidP="0044493B">
            <w:pPr>
              <w:pStyle w:val="ListParagraph"/>
              <w:numPr>
                <w:ilvl w:val="0"/>
                <w:numId w:val="26"/>
              </w:numPr>
              <w:spacing w:before="60" w:after="0" w:line="240" w:lineRule="auto"/>
              <w:ind w:left="426" w:hanging="284"/>
              <w:contextualSpacing w:val="0"/>
              <w:jc w:val="both"/>
              <w:rPr>
                <w:rFonts w:asciiTheme="minorHAnsi" w:eastAsia="Arial Unicode MS" w:hAnsiTheme="minorHAnsi" w:cstheme="minorHAnsi"/>
              </w:rPr>
            </w:pPr>
            <w:r w:rsidRPr="00E65FE2">
              <w:rPr>
                <w:rFonts w:asciiTheme="minorHAnsi" w:eastAsia="Arial Unicode MS" w:hAnsiTheme="minorHAnsi" w:cstheme="minorHAnsi"/>
              </w:rPr>
              <w:t>Record smoking status in the patient information system (B)</w:t>
            </w:r>
          </w:p>
          <w:p w:rsidR="0044493B" w:rsidRPr="00E65FE2" w:rsidRDefault="0044493B" w:rsidP="0044493B">
            <w:pPr>
              <w:pStyle w:val="ListParagraph"/>
              <w:numPr>
                <w:ilvl w:val="0"/>
                <w:numId w:val="26"/>
              </w:numPr>
              <w:spacing w:before="60" w:after="0" w:line="240" w:lineRule="auto"/>
              <w:ind w:left="426" w:hanging="284"/>
              <w:contextualSpacing w:val="0"/>
              <w:jc w:val="both"/>
              <w:rPr>
                <w:rFonts w:asciiTheme="minorHAnsi" w:eastAsia="Arial Unicode MS" w:hAnsiTheme="minorHAnsi" w:cstheme="minorHAnsi"/>
              </w:rPr>
            </w:pPr>
            <w:r w:rsidRPr="00E65FE2">
              <w:rPr>
                <w:rFonts w:asciiTheme="minorHAnsi" w:eastAsia="Arial Unicode MS" w:hAnsiTheme="minorHAnsi" w:cstheme="minorHAnsi"/>
              </w:rPr>
              <w:t>Provide brief advice to</w:t>
            </w:r>
            <w:r>
              <w:rPr>
                <w:rFonts w:asciiTheme="minorHAnsi" w:eastAsia="Arial Unicode MS" w:hAnsiTheme="minorHAnsi" w:cstheme="minorHAnsi"/>
              </w:rPr>
              <w:t xml:space="preserve"> all those patients that smoke.</w:t>
            </w:r>
            <w:r w:rsidRPr="00E65FE2">
              <w:rPr>
                <w:rFonts w:asciiTheme="minorHAnsi" w:eastAsia="Arial Unicode MS" w:hAnsiTheme="minorHAnsi" w:cstheme="minorHAnsi"/>
              </w:rPr>
              <w:t xml:space="preserve"> Promote the benefits of quitting and the effects of tobacco on the mouth, and</w:t>
            </w:r>
            <w:r>
              <w:rPr>
                <w:rFonts w:asciiTheme="minorHAnsi" w:eastAsia="Arial Unicode MS" w:hAnsiTheme="minorHAnsi" w:cstheme="minorHAnsi"/>
              </w:rPr>
              <w:t xml:space="preserve"> make an offer of treatment.</w:t>
            </w:r>
            <w:r w:rsidRPr="00E65FE2">
              <w:rPr>
                <w:rFonts w:asciiTheme="minorHAnsi" w:eastAsia="Arial Unicode MS" w:hAnsiTheme="minorHAnsi" w:cstheme="minorHAnsi"/>
              </w:rPr>
              <w:t xml:space="preserve"> </w:t>
            </w:r>
            <w:r>
              <w:rPr>
                <w:rFonts w:asciiTheme="minorHAnsi" w:eastAsia="Arial Unicode MS" w:hAnsiTheme="minorHAnsi" w:cstheme="minorHAnsi"/>
              </w:rPr>
              <w:t>D</w:t>
            </w:r>
            <w:r w:rsidRPr="00E65FE2">
              <w:rPr>
                <w:rFonts w:asciiTheme="minorHAnsi" w:eastAsia="Arial Unicode MS" w:hAnsiTheme="minorHAnsi" w:cstheme="minorHAnsi"/>
              </w:rPr>
              <w:t>ocument that advice was given (A)</w:t>
            </w:r>
            <w:r>
              <w:rPr>
                <w:rFonts w:asciiTheme="minorHAnsi" w:eastAsia="Arial Unicode MS" w:hAnsiTheme="minorHAnsi" w:cstheme="minorHAnsi"/>
              </w:rPr>
              <w:t>. Provide brief advice to wh</w:t>
            </w:r>
            <w:r w:rsidR="00F22FE7">
              <w:rPr>
                <w:rFonts w:asciiTheme="minorHAnsi" w:eastAsia="Arial Unicode MS" w:hAnsiTheme="minorHAnsi" w:cstheme="minorHAnsi"/>
              </w:rPr>
              <w:t>ā</w:t>
            </w:r>
            <w:r>
              <w:rPr>
                <w:rFonts w:asciiTheme="minorHAnsi" w:eastAsia="Arial Unicode MS" w:hAnsiTheme="minorHAnsi" w:cstheme="minorHAnsi"/>
              </w:rPr>
              <w:t>nau and caregivers of young children who smoke (B)</w:t>
            </w:r>
          </w:p>
          <w:p w:rsidR="0044493B" w:rsidRDefault="0044493B" w:rsidP="0044493B">
            <w:pPr>
              <w:pStyle w:val="ListParagraph"/>
              <w:numPr>
                <w:ilvl w:val="0"/>
                <w:numId w:val="26"/>
              </w:numPr>
              <w:spacing w:before="60" w:after="0" w:line="240" w:lineRule="auto"/>
              <w:ind w:left="426" w:hanging="284"/>
              <w:contextualSpacing w:val="0"/>
              <w:jc w:val="both"/>
              <w:rPr>
                <w:rFonts w:asciiTheme="minorHAnsi" w:eastAsia="Arial Unicode MS" w:hAnsiTheme="minorHAnsi" w:cstheme="minorHAnsi"/>
              </w:rPr>
            </w:pPr>
            <w:r>
              <w:rPr>
                <w:rFonts w:asciiTheme="minorHAnsi" w:eastAsia="Arial Unicode MS" w:hAnsiTheme="minorHAnsi" w:cstheme="minorHAnsi"/>
              </w:rPr>
              <w:t>P</w:t>
            </w:r>
            <w:r w:rsidRPr="00E65FE2">
              <w:rPr>
                <w:rFonts w:asciiTheme="minorHAnsi" w:eastAsia="Arial Unicode MS" w:hAnsiTheme="minorHAnsi" w:cstheme="minorHAnsi"/>
              </w:rPr>
              <w:t xml:space="preserve">atients </w:t>
            </w:r>
            <w:r>
              <w:rPr>
                <w:rFonts w:asciiTheme="minorHAnsi" w:eastAsia="Arial Unicode MS" w:hAnsiTheme="minorHAnsi" w:cstheme="minorHAnsi"/>
              </w:rPr>
              <w:t>and/or wh</w:t>
            </w:r>
            <w:r w:rsidR="00F22FE7">
              <w:rPr>
                <w:rFonts w:asciiTheme="minorHAnsi" w:eastAsia="Arial Unicode MS" w:hAnsiTheme="minorHAnsi" w:cstheme="minorHAnsi"/>
              </w:rPr>
              <w:t>ā</w:t>
            </w:r>
            <w:r>
              <w:rPr>
                <w:rFonts w:asciiTheme="minorHAnsi" w:eastAsia="Arial Unicode MS" w:hAnsiTheme="minorHAnsi" w:cstheme="minorHAnsi"/>
              </w:rPr>
              <w:t xml:space="preserve">nau and caregivers </w:t>
            </w:r>
            <w:r w:rsidRPr="00E65FE2">
              <w:rPr>
                <w:rFonts w:asciiTheme="minorHAnsi" w:eastAsia="Arial Unicode MS" w:hAnsiTheme="minorHAnsi" w:cstheme="minorHAnsi"/>
              </w:rPr>
              <w:t>who want help quitting should be referred to an appropriate smoking cessation service/programme</w:t>
            </w:r>
            <w:r>
              <w:rPr>
                <w:rFonts w:asciiTheme="minorHAnsi" w:eastAsia="Arial Unicode MS" w:hAnsiTheme="minorHAnsi" w:cstheme="minorHAnsi"/>
              </w:rPr>
              <w:t>. D</w:t>
            </w:r>
            <w:r w:rsidRPr="00E65FE2">
              <w:rPr>
                <w:rFonts w:asciiTheme="minorHAnsi" w:eastAsia="Arial Unicode MS" w:hAnsiTheme="minorHAnsi" w:cstheme="minorHAnsi"/>
              </w:rPr>
              <w:t xml:space="preserve">ocument that </w:t>
            </w:r>
            <w:r>
              <w:rPr>
                <w:rFonts w:asciiTheme="minorHAnsi" w:eastAsia="Arial Unicode MS" w:hAnsiTheme="minorHAnsi" w:cstheme="minorHAnsi"/>
              </w:rPr>
              <w:t>you have done so</w:t>
            </w:r>
            <w:r w:rsidRPr="00E65FE2">
              <w:rPr>
                <w:rFonts w:asciiTheme="minorHAnsi" w:eastAsia="Arial Unicode MS" w:hAnsiTheme="minorHAnsi" w:cstheme="minorHAnsi"/>
              </w:rPr>
              <w:t xml:space="preserve"> (A)</w:t>
            </w:r>
          </w:p>
          <w:p w:rsidR="0044493B" w:rsidRDefault="0044493B" w:rsidP="0044493B">
            <w:pPr>
              <w:pStyle w:val="ListParagraph"/>
              <w:numPr>
                <w:ilvl w:val="0"/>
                <w:numId w:val="26"/>
              </w:numPr>
              <w:spacing w:before="60" w:after="0" w:line="240" w:lineRule="auto"/>
              <w:ind w:left="426" w:hanging="284"/>
              <w:contextualSpacing w:val="0"/>
              <w:jc w:val="both"/>
              <w:rPr>
                <w:rFonts w:asciiTheme="minorHAnsi" w:eastAsia="Arial Unicode MS" w:hAnsiTheme="minorHAnsi" w:cstheme="minorHAnsi"/>
              </w:rPr>
            </w:pPr>
            <w:r w:rsidRPr="00E65FE2">
              <w:rPr>
                <w:rFonts w:asciiTheme="minorHAnsi" w:eastAsia="Arial Unicode MS" w:hAnsiTheme="minorHAnsi" w:cstheme="minorHAnsi"/>
              </w:rPr>
              <w:t>Patients who want to quit, but are not ready to be referr</w:t>
            </w:r>
            <w:r>
              <w:rPr>
                <w:rFonts w:asciiTheme="minorHAnsi" w:eastAsia="Arial Unicode MS" w:hAnsiTheme="minorHAnsi" w:cstheme="minorHAnsi"/>
              </w:rPr>
              <w:t xml:space="preserve">ed, should be given an appropriate smoking cessation medicine, </w:t>
            </w:r>
            <w:r w:rsidRPr="00E65FE2">
              <w:rPr>
                <w:rFonts w:asciiTheme="minorHAnsi" w:eastAsia="Arial Unicode MS" w:hAnsiTheme="minorHAnsi" w:cstheme="minorHAnsi"/>
              </w:rPr>
              <w:t>advice</w:t>
            </w:r>
            <w:r>
              <w:rPr>
                <w:rFonts w:asciiTheme="minorHAnsi" w:eastAsia="Arial Unicode MS" w:hAnsiTheme="minorHAnsi" w:cstheme="minorHAnsi"/>
              </w:rPr>
              <w:t xml:space="preserve"> on how to use it, and some basic advice on quitting</w:t>
            </w:r>
            <w:r w:rsidRPr="00E65FE2">
              <w:rPr>
                <w:rFonts w:asciiTheme="minorHAnsi" w:eastAsia="Arial Unicode MS" w:hAnsiTheme="minorHAnsi" w:cstheme="minorHAnsi"/>
              </w:rPr>
              <w:t xml:space="preserve"> in the dental setting (A)</w:t>
            </w:r>
            <w:r>
              <w:rPr>
                <w:rFonts w:asciiTheme="minorHAnsi" w:eastAsia="Arial Unicode MS" w:hAnsiTheme="minorHAnsi" w:cstheme="minorHAnsi"/>
              </w:rPr>
              <w:t>. Practitioners may also promote ot</w:t>
            </w:r>
            <w:r w:rsidR="004A46DC">
              <w:rPr>
                <w:rFonts w:asciiTheme="minorHAnsi" w:eastAsia="Arial Unicode MS" w:hAnsiTheme="minorHAnsi" w:cstheme="minorHAnsi"/>
              </w:rPr>
              <w:t>her quit services</w:t>
            </w:r>
            <w:r>
              <w:rPr>
                <w:rFonts w:asciiTheme="minorHAnsi" w:eastAsia="Arial Unicode MS" w:hAnsiTheme="minorHAnsi" w:cstheme="minorHAnsi"/>
              </w:rPr>
              <w:t>.</w:t>
            </w:r>
          </w:p>
          <w:p w:rsidR="0044493B" w:rsidRDefault="0044493B" w:rsidP="0044493B">
            <w:pPr>
              <w:pStyle w:val="ListParagraph"/>
              <w:numPr>
                <w:ilvl w:val="0"/>
                <w:numId w:val="26"/>
              </w:numPr>
              <w:spacing w:before="60" w:after="0" w:line="240" w:lineRule="auto"/>
              <w:ind w:left="426" w:hanging="284"/>
              <w:contextualSpacing w:val="0"/>
              <w:jc w:val="both"/>
              <w:rPr>
                <w:rFonts w:asciiTheme="minorHAnsi" w:eastAsia="Arial Unicode MS" w:hAnsiTheme="minorHAnsi" w:cstheme="minorHAnsi"/>
              </w:rPr>
            </w:pPr>
            <w:r w:rsidRPr="00E65FE2">
              <w:rPr>
                <w:rFonts w:asciiTheme="minorHAnsi" w:eastAsia="Arial Unicode MS" w:hAnsiTheme="minorHAnsi" w:cstheme="minorHAnsi"/>
              </w:rPr>
              <w:t>Give particular attention to pregnan</w:t>
            </w:r>
            <w:r>
              <w:rPr>
                <w:rFonts w:asciiTheme="minorHAnsi" w:eastAsia="Arial Unicode MS" w:hAnsiTheme="minorHAnsi" w:cstheme="minorHAnsi"/>
              </w:rPr>
              <w:t xml:space="preserve">t women, </w:t>
            </w:r>
            <w:r w:rsidRPr="00E65FE2">
              <w:rPr>
                <w:rFonts w:asciiTheme="minorHAnsi" w:eastAsia="Arial Unicode MS" w:hAnsiTheme="minorHAnsi" w:cstheme="minorHAnsi"/>
              </w:rPr>
              <w:t>new mothers</w:t>
            </w:r>
            <w:r>
              <w:rPr>
                <w:rFonts w:asciiTheme="minorHAnsi" w:eastAsia="Arial Unicode MS" w:hAnsiTheme="minorHAnsi" w:cstheme="minorHAnsi"/>
              </w:rPr>
              <w:t>, and wh</w:t>
            </w:r>
            <w:r w:rsidR="00F22FE7">
              <w:rPr>
                <w:rFonts w:asciiTheme="minorHAnsi" w:eastAsia="Arial Unicode MS" w:hAnsiTheme="minorHAnsi" w:cstheme="minorHAnsi"/>
              </w:rPr>
              <w:t>ā</w:t>
            </w:r>
            <w:r>
              <w:rPr>
                <w:rFonts w:asciiTheme="minorHAnsi" w:eastAsia="Arial Unicode MS" w:hAnsiTheme="minorHAnsi" w:cstheme="minorHAnsi"/>
              </w:rPr>
              <w:t>nau/caregivers of children</w:t>
            </w:r>
            <w:r w:rsidRPr="00E65FE2">
              <w:rPr>
                <w:rFonts w:asciiTheme="minorHAnsi" w:eastAsia="Arial Unicode MS" w:hAnsiTheme="minorHAnsi" w:cstheme="minorHAnsi"/>
              </w:rPr>
              <w:t xml:space="preserve"> </w:t>
            </w:r>
            <w:r>
              <w:rPr>
                <w:rFonts w:asciiTheme="minorHAnsi" w:eastAsia="Arial Unicode MS" w:hAnsiTheme="minorHAnsi" w:cstheme="minorHAnsi"/>
              </w:rPr>
              <w:t>and provide advice about</w:t>
            </w:r>
            <w:r w:rsidRPr="00E65FE2">
              <w:rPr>
                <w:rFonts w:asciiTheme="minorHAnsi" w:eastAsia="Arial Unicode MS" w:hAnsiTheme="minorHAnsi" w:cstheme="minorHAnsi"/>
              </w:rPr>
              <w:t xml:space="preserve"> quit</w:t>
            </w:r>
            <w:r>
              <w:rPr>
                <w:rFonts w:asciiTheme="minorHAnsi" w:eastAsia="Arial Unicode MS" w:hAnsiTheme="minorHAnsi" w:cstheme="minorHAnsi"/>
              </w:rPr>
              <w:t xml:space="preserve">ting and </w:t>
            </w:r>
            <w:r w:rsidRPr="00E65FE2">
              <w:rPr>
                <w:rFonts w:asciiTheme="minorHAnsi" w:eastAsia="Arial Unicode MS" w:hAnsiTheme="minorHAnsi" w:cstheme="minorHAnsi"/>
              </w:rPr>
              <w:t xml:space="preserve">promote importance </w:t>
            </w:r>
            <w:r>
              <w:rPr>
                <w:rFonts w:asciiTheme="minorHAnsi" w:eastAsia="Arial Unicode MS" w:hAnsiTheme="minorHAnsi" w:cstheme="minorHAnsi"/>
              </w:rPr>
              <w:t xml:space="preserve">of </w:t>
            </w:r>
            <w:r w:rsidR="00F22FE7">
              <w:rPr>
                <w:rFonts w:asciiTheme="minorHAnsi" w:eastAsia="Arial Unicode MS" w:hAnsiTheme="minorHAnsi" w:cstheme="minorHAnsi"/>
              </w:rPr>
              <w:t>smoke free</w:t>
            </w:r>
            <w:r>
              <w:rPr>
                <w:rFonts w:asciiTheme="minorHAnsi" w:eastAsia="Arial Unicode MS" w:hAnsiTheme="minorHAnsi" w:cstheme="minorHAnsi"/>
              </w:rPr>
              <w:t xml:space="preserve"> areas for children</w:t>
            </w:r>
            <w:r w:rsidRPr="00E65FE2">
              <w:rPr>
                <w:rFonts w:asciiTheme="minorHAnsi" w:eastAsia="Arial Unicode MS" w:hAnsiTheme="minorHAnsi" w:cstheme="minorHAnsi"/>
              </w:rPr>
              <w:t xml:space="preserve"> and infants (A) (B)</w:t>
            </w:r>
            <w:r>
              <w:rPr>
                <w:rFonts w:asciiTheme="minorHAnsi" w:eastAsia="Arial Unicode MS" w:hAnsiTheme="minorHAnsi" w:cstheme="minorHAnsi"/>
              </w:rPr>
              <w:t xml:space="preserve"> </w:t>
            </w:r>
          </w:p>
          <w:p w:rsidR="0044493B" w:rsidRDefault="0044493B" w:rsidP="0044493B">
            <w:pPr>
              <w:pStyle w:val="ListParagraph"/>
              <w:numPr>
                <w:ilvl w:val="0"/>
                <w:numId w:val="26"/>
              </w:numPr>
              <w:spacing w:before="60" w:after="0" w:line="240" w:lineRule="auto"/>
              <w:ind w:left="426" w:hanging="284"/>
              <w:contextualSpacing w:val="0"/>
              <w:jc w:val="both"/>
              <w:rPr>
                <w:rFonts w:asciiTheme="minorHAnsi" w:eastAsia="Arial Unicode MS" w:hAnsiTheme="minorHAnsi" w:cstheme="minorHAnsi"/>
              </w:rPr>
            </w:pPr>
            <w:r>
              <w:rPr>
                <w:rFonts w:asciiTheme="minorHAnsi" w:eastAsia="Arial Unicode MS" w:hAnsiTheme="minorHAnsi" w:cstheme="minorHAnsi"/>
              </w:rPr>
              <w:t>Establish referral pathways that</w:t>
            </w:r>
            <w:r w:rsidRPr="00E65FE2">
              <w:rPr>
                <w:rFonts w:asciiTheme="minorHAnsi" w:eastAsia="Arial Unicode MS" w:hAnsiTheme="minorHAnsi" w:cstheme="minorHAnsi"/>
              </w:rPr>
              <w:t xml:space="preserve"> enable the exchange of information between MOHP and Primary Care Practice</w:t>
            </w:r>
            <w:r>
              <w:rPr>
                <w:rFonts w:asciiTheme="minorHAnsi" w:eastAsia="Arial Unicode MS" w:hAnsiTheme="minorHAnsi" w:cstheme="minorHAnsi"/>
              </w:rPr>
              <w:t>s</w:t>
            </w:r>
            <w:r w:rsidRPr="00E65FE2">
              <w:rPr>
                <w:rFonts w:asciiTheme="minorHAnsi" w:eastAsia="Arial Unicode MS" w:hAnsiTheme="minorHAnsi" w:cstheme="minorHAnsi"/>
              </w:rPr>
              <w:t xml:space="preserve"> to manage smoking cessation support of patients (B)</w:t>
            </w:r>
          </w:p>
          <w:p w:rsidR="0044493B" w:rsidRPr="00E65FE2" w:rsidRDefault="0044493B" w:rsidP="0044493B">
            <w:pPr>
              <w:spacing w:before="240" w:after="120"/>
              <w:jc w:val="both"/>
              <w:rPr>
                <w:rFonts w:asciiTheme="minorHAnsi" w:eastAsia="Arial Unicode MS" w:hAnsiTheme="minorHAnsi" w:cstheme="minorHAnsi"/>
                <w:b/>
                <w:sz w:val="22"/>
              </w:rPr>
            </w:pPr>
            <w:r w:rsidRPr="00E65FE2">
              <w:rPr>
                <w:rFonts w:asciiTheme="minorHAnsi" w:eastAsia="Arial Unicode MS" w:hAnsiTheme="minorHAnsi" w:cstheme="minorHAnsi"/>
                <w:b/>
                <w:sz w:val="22"/>
              </w:rPr>
              <w:lastRenderedPageBreak/>
              <w:t xml:space="preserve">Primary care practitioners should: </w:t>
            </w:r>
          </w:p>
          <w:p w:rsidR="0044493B" w:rsidRPr="00C45513" w:rsidRDefault="0044493B" w:rsidP="0044493B">
            <w:pPr>
              <w:pStyle w:val="ListParagraph"/>
              <w:numPr>
                <w:ilvl w:val="0"/>
                <w:numId w:val="26"/>
              </w:numPr>
              <w:spacing w:before="60" w:after="0" w:line="240" w:lineRule="auto"/>
              <w:ind w:left="426" w:hanging="284"/>
              <w:contextualSpacing w:val="0"/>
              <w:jc w:val="both"/>
              <w:rPr>
                <w:rFonts w:asciiTheme="minorHAnsi" w:eastAsia="Arial Unicode MS" w:hAnsiTheme="minorHAnsi" w:cstheme="minorHAnsi"/>
              </w:rPr>
            </w:pPr>
            <w:r w:rsidRPr="00C45513">
              <w:rPr>
                <w:rFonts w:asciiTheme="minorHAnsi" w:eastAsia="Arial Unicode MS" w:hAnsiTheme="minorHAnsi" w:cstheme="minorHAnsi"/>
              </w:rPr>
              <w:t>Identify people who smoke, who would benefit from oral health care. For example, pregnant women and people with a chronic health condition (i.e. diabetes) will have greater oral health needs and will benefit most from quitting (A) (B)</w:t>
            </w:r>
            <w:r w:rsidR="004A46DC" w:rsidRPr="00C45513">
              <w:rPr>
                <w:rFonts w:asciiTheme="minorHAnsi" w:eastAsia="Arial Unicode MS" w:hAnsiTheme="minorHAnsi" w:cstheme="minorHAnsi"/>
              </w:rPr>
              <w:t>. Refer them to the MOHP or their preferred dental provider and document that you have done so (B)</w:t>
            </w:r>
          </w:p>
          <w:p w:rsidR="0044493B" w:rsidRPr="00E65FE2" w:rsidRDefault="0044493B" w:rsidP="0044493B">
            <w:pPr>
              <w:pStyle w:val="ListParagraph"/>
              <w:numPr>
                <w:ilvl w:val="0"/>
                <w:numId w:val="26"/>
              </w:numPr>
              <w:spacing w:before="60" w:after="0" w:line="240" w:lineRule="auto"/>
              <w:ind w:left="426" w:hanging="284"/>
              <w:contextualSpacing w:val="0"/>
              <w:jc w:val="both"/>
              <w:rPr>
                <w:rFonts w:asciiTheme="minorHAnsi" w:eastAsia="Arial Unicode MS" w:hAnsiTheme="minorHAnsi" w:cstheme="minorHAnsi"/>
              </w:rPr>
            </w:pPr>
            <w:r w:rsidRPr="00E65FE2">
              <w:rPr>
                <w:rFonts w:asciiTheme="minorHAnsi" w:eastAsia="Arial Unicode MS" w:hAnsiTheme="minorHAnsi" w:cstheme="minorHAnsi"/>
              </w:rPr>
              <w:t>P</w:t>
            </w:r>
            <w:r>
              <w:rPr>
                <w:rFonts w:asciiTheme="minorHAnsi" w:eastAsia="Arial Unicode MS" w:hAnsiTheme="minorHAnsi" w:cstheme="minorHAnsi"/>
              </w:rPr>
              <w:t>rovide brief advice to stop smoking and document that advice has been given</w:t>
            </w:r>
            <w:r w:rsidRPr="00E65FE2">
              <w:rPr>
                <w:rFonts w:asciiTheme="minorHAnsi" w:eastAsia="Arial Unicode MS" w:hAnsiTheme="minorHAnsi" w:cstheme="minorHAnsi"/>
              </w:rPr>
              <w:t xml:space="preserve"> (B)</w:t>
            </w:r>
            <w:r w:rsidRPr="0003585F">
              <w:rPr>
                <w:rFonts w:asciiTheme="minorHAnsi" w:eastAsia="Arial Unicode MS" w:hAnsiTheme="minorHAnsi" w:cstheme="minorHAnsi"/>
              </w:rPr>
              <w:t xml:space="preserve"> </w:t>
            </w:r>
          </w:p>
          <w:p w:rsidR="0044493B" w:rsidRPr="00E65FE2" w:rsidRDefault="0044493B" w:rsidP="0044493B">
            <w:pPr>
              <w:pStyle w:val="ListParagraph"/>
              <w:numPr>
                <w:ilvl w:val="0"/>
                <w:numId w:val="26"/>
              </w:numPr>
              <w:spacing w:before="60" w:after="0" w:line="240" w:lineRule="auto"/>
              <w:ind w:left="426" w:hanging="284"/>
              <w:contextualSpacing w:val="0"/>
              <w:jc w:val="both"/>
              <w:rPr>
                <w:rFonts w:asciiTheme="minorHAnsi" w:eastAsia="Arial Unicode MS" w:hAnsiTheme="minorHAnsi" w:cstheme="minorHAnsi"/>
                <w:b/>
              </w:rPr>
            </w:pPr>
            <w:r w:rsidRPr="00E65FE2">
              <w:rPr>
                <w:rFonts w:asciiTheme="minorHAnsi" w:eastAsia="Arial Unicode MS" w:hAnsiTheme="minorHAnsi" w:cstheme="minorHAnsi"/>
              </w:rPr>
              <w:t>Seek advice and support from the MOHP service to support good oral health practices among pregnant women and people with chronic health conditions who smoke (B)</w:t>
            </w:r>
          </w:p>
        </w:tc>
      </w:tr>
      <w:tr w:rsidR="0044493B" w:rsidRPr="005F0AA6" w:rsidTr="00B67900">
        <w:trPr>
          <w:trHeight w:val="3003"/>
        </w:trPr>
        <w:tc>
          <w:tcPr>
            <w:tcW w:w="9039" w:type="dxa"/>
            <w:tcBorders>
              <w:top w:val="single" w:sz="4" w:space="0" w:color="42D0B8"/>
              <w:left w:val="single" w:sz="4" w:space="0" w:color="42D0B8"/>
              <w:bottom w:val="single" w:sz="4" w:space="0" w:color="42D0B8"/>
              <w:right w:val="single" w:sz="4" w:space="0" w:color="42D0B8"/>
            </w:tcBorders>
            <w:shd w:val="clear" w:color="auto" w:fill="auto"/>
          </w:tcPr>
          <w:p w:rsidR="0044493B" w:rsidRPr="00E65FE2" w:rsidRDefault="0044493B" w:rsidP="0044493B">
            <w:pPr>
              <w:spacing w:before="120" w:after="120"/>
              <w:jc w:val="both"/>
              <w:rPr>
                <w:rFonts w:asciiTheme="minorHAnsi" w:eastAsia="Arial Unicode MS" w:hAnsiTheme="minorHAnsi" w:cstheme="minorHAnsi"/>
                <w:b/>
                <w:sz w:val="22"/>
                <w:szCs w:val="22"/>
              </w:rPr>
            </w:pPr>
            <w:r w:rsidRPr="00E65FE2">
              <w:rPr>
                <w:rFonts w:asciiTheme="minorHAnsi" w:eastAsia="Arial Unicode MS" w:hAnsiTheme="minorHAnsi" w:cstheme="minorHAnsi"/>
                <w:b/>
                <w:sz w:val="22"/>
                <w:szCs w:val="22"/>
              </w:rPr>
              <w:lastRenderedPageBreak/>
              <w:t>FOCUS</w:t>
            </w:r>
          </w:p>
          <w:p w:rsidR="0044493B" w:rsidRPr="00E65FE2" w:rsidRDefault="0044493B" w:rsidP="0044493B">
            <w:pPr>
              <w:pStyle w:val="ListParagraph"/>
              <w:numPr>
                <w:ilvl w:val="0"/>
                <w:numId w:val="26"/>
              </w:numPr>
              <w:spacing w:before="120" w:after="120" w:line="240" w:lineRule="auto"/>
              <w:ind w:left="426" w:hanging="284"/>
              <w:contextualSpacing w:val="0"/>
              <w:jc w:val="both"/>
              <w:rPr>
                <w:rFonts w:asciiTheme="minorHAnsi" w:eastAsia="Arial Unicode MS" w:hAnsiTheme="minorHAnsi" w:cstheme="minorHAnsi"/>
              </w:rPr>
            </w:pPr>
            <w:r w:rsidRPr="00E65FE2">
              <w:rPr>
                <w:rFonts w:asciiTheme="minorHAnsi" w:eastAsia="Arial Unicode MS" w:hAnsiTheme="minorHAnsi" w:cstheme="minorHAnsi"/>
              </w:rPr>
              <w:t xml:space="preserve">All </w:t>
            </w:r>
            <w:r>
              <w:rPr>
                <w:rFonts w:asciiTheme="minorHAnsi" w:eastAsia="Arial Unicode MS" w:hAnsiTheme="minorHAnsi" w:cstheme="minorHAnsi"/>
              </w:rPr>
              <w:t xml:space="preserve">oral health </w:t>
            </w:r>
            <w:r w:rsidRPr="00C45513">
              <w:rPr>
                <w:rFonts w:asciiTheme="minorHAnsi" w:eastAsia="Arial Unicode MS" w:hAnsiTheme="minorHAnsi" w:cstheme="minorHAnsi"/>
              </w:rPr>
              <w:t>practitioners must</w:t>
            </w:r>
            <w:r>
              <w:rPr>
                <w:rFonts w:asciiTheme="minorHAnsi" w:eastAsia="Arial Unicode MS" w:hAnsiTheme="minorHAnsi" w:cstheme="minorHAnsi"/>
              </w:rPr>
              <w:t xml:space="preserve"> </w:t>
            </w:r>
            <w:r w:rsidRPr="00E65FE2">
              <w:rPr>
                <w:rFonts w:asciiTheme="minorHAnsi" w:eastAsia="Arial Unicode MS" w:hAnsiTheme="minorHAnsi" w:cstheme="minorHAnsi"/>
              </w:rPr>
              <w:t xml:space="preserve">undertake </w:t>
            </w:r>
            <w:r>
              <w:rPr>
                <w:rFonts w:asciiTheme="minorHAnsi" w:eastAsia="Arial Unicode MS" w:hAnsiTheme="minorHAnsi" w:cstheme="minorHAnsi"/>
              </w:rPr>
              <w:t xml:space="preserve">the Ministry of Health’s online ABC </w:t>
            </w:r>
            <w:r w:rsidRPr="00E65FE2">
              <w:rPr>
                <w:rFonts w:asciiTheme="minorHAnsi" w:eastAsia="Arial Unicode MS" w:hAnsiTheme="minorHAnsi" w:cstheme="minorHAnsi"/>
              </w:rPr>
              <w:t>smoking cessation</w:t>
            </w:r>
            <w:r>
              <w:rPr>
                <w:rFonts w:asciiTheme="minorHAnsi" w:eastAsia="Arial Unicode MS" w:hAnsiTheme="minorHAnsi" w:cstheme="minorHAnsi"/>
              </w:rPr>
              <w:t xml:space="preserve"> and tr</w:t>
            </w:r>
            <w:r w:rsidR="00916DC5">
              <w:rPr>
                <w:rFonts w:asciiTheme="minorHAnsi" w:eastAsia="Arial Unicode MS" w:hAnsiTheme="minorHAnsi" w:cstheme="minorHAnsi"/>
              </w:rPr>
              <w:t xml:space="preserve">eatment training to </w:t>
            </w:r>
            <w:r w:rsidRPr="00E65FE2">
              <w:rPr>
                <w:rFonts w:asciiTheme="minorHAnsi" w:eastAsia="Arial Unicode MS" w:hAnsiTheme="minorHAnsi" w:cstheme="minorHAnsi"/>
              </w:rPr>
              <w:t>understand the complex nature of tobacco u</w:t>
            </w:r>
            <w:r w:rsidR="00916DC5">
              <w:rPr>
                <w:rFonts w:asciiTheme="minorHAnsi" w:eastAsia="Arial Unicode MS" w:hAnsiTheme="minorHAnsi" w:cstheme="minorHAnsi"/>
              </w:rPr>
              <w:t>se, its impact on health</w:t>
            </w:r>
            <w:r w:rsidRPr="00E65FE2">
              <w:rPr>
                <w:rFonts w:asciiTheme="minorHAnsi" w:eastAsia="Arial Unicode MS" w:hAnsiTheme="minorHAnsi" w:cstheme="minorHAnsi"/>
              </w:rPr>
              <w:t xml:space="preserve">, and to become </w:t>
            </w:r>
            <w:r w:rsidRPr="00415EAF">
              <w:rPr>
                <w:rFonts w:asciiTheme="minorHAnsi" w:eastAsia="Arial Unicode MS" w:hAnsiTheme="minorHAnsi" w:cstheme="minorHAnsi"/>
              </w:rPr>
              <w:t>proficient</w:t>
            </w:r>
            <w:r w:rsidRPr="00E65FE2">
              <w:rPr>
                <w:rFonts w:asciiTheme="minorHAnsi" w:eastAsia="Arial Unicode MS" w:hAnsiTheme="minorHAnsi" w:cstheme="minorHAnsi"/>
              </w:rPr>
              <w:t xml:space="preserve"> in</w:t>
            </w:r>
            <w:r w:rsidR="00916DC5">
              <w:rPr>
                <w:rFonts w:asciiTheme="minorHAnsi" w:eastAsia="Arial Unicode MS" w:hAnsiTheme="minorHAnsi" w:cstheme="minorHAnsi"/>
              </w:rPr>
              <w:t xml:space="preserve"> ABC </w:t>
            </w:r>
            <w:r w:rsidRPr="00E65FE2">
              <w:rPr>
                <w:rFonts w:asciiTheme="minorHAnsi" w:eastAsia="Arial Unicode MS" w:hAnsiTheme="minorHAnsi" w:cstheme="minorHAnsi"/>
              </w:rPr>
              <w:t xml:space="preserve">(A) (B) </w:t>
            </w:r>
          </w:p>
          <w:p w:rsidR="0044493B" w:rsidRPr="00E65FE2" w:rsidRDefault="0044493B" w:rsidP="0044493B">
            <w:pPr>
              <w:pStyle w:val="ListParagraph"/>
              <w:numPr>
                <w:ilvl w:val="0"/>
                <w:numId w:val="26"/>
              </w:numPr>
              <w:spacing w:before="60" w:after="0" w:line="240" w:lineRule="auto"/>
              <w:ind w:left="426" w:hanging="284"/>
              <w:contextualSpacing w:val="0"/>
              <w:jc w:val="both"/>
              <w:rPr>
                <w:rFonts w:asciiTheme="minorHAnsi" w:eastAsia="Arial Unicode MS" w:hAnsiTheme="minorHAnsi" w:cstheme="minorHAnsi"/>
              </w:rPr>
            </w:pPr>
            <w:r>
              <w:rPr>
                <w:rFonts w:asciiTheme="minorHAnsi" w:eastAsia="Arial Unicode MS" w:hAnsiTheme="minorHAnsi" w:cstheme="minorHAnsi"/>
              </w:rPr>
              <w:t>Hold an MOHP oral health</w:t>
            </w:r>
            <w:r w:rsidRPr="00E65FE2">
              <w:rPr>
                <w:rFonts w:asciiTheme="minorHAnsi" w:eastAsia="Arial Unicode MS" w:hAnsiTheme="minorHAnsi" w:cstheme="minorHAnsi"/>
              </w:rPr>
              <w:t xml:space="preserve"> team meeting to clarify roles and responsibilities of the team in smoking cessation, identify barriers that may prevent involvement, and ways to facilitate greater involvement (A) (B)  </w:t>
            </w:r>
          </w:p>
          <w:p w:rsidR="0044493B" w:rsidRPr="00E65FE2" w:rsidRDefault="0044493B" w:rsidP="0044493B">
            <w:pPr>
              <w:pStyle w:val="ListParagraph"/>
              <w:numPr>
                <w:ilvl w:val="0"/>
                <w:numId w:val="26"/>
              </w:numPr>
              <w:spacing w:before="60" w:after="0" w:line="240" w:lineRule="auto"/>
              <w:ind w:left="426" w:hanging="284"/>
              <w:contextualSpacing w:val="0"/>
              <w:jc w:val="both"/>
              <w:rPr>
                <w:rFonts w:asciiTheme="minorHAnsi" w:eastAsia="Arial Unicode MS" w:hAnsiTheme="minorHAnsi" w:cstheme="minorHAnsi"/>
              </w:rPr>
            </w:pPr>
            <w:r w:rsidRPr="00E65FE2">
              <w:rPr>
                <w:rFonts w:asciiTheme="minorHAnsi" w:eastAsia="Arial Unicode MS" w:hAnsiTheme="minorHAnsi" w:cstheme="minorHAnsi"/>
              </w:rPr>
              <w:t>Māori oral health services and primary care services (</w:t>
            </w:r>
            <w:r>
              <w:rPr>
                <w:rFonts w:asciiTheme="minorHAnsi" w:eastAsia="Arial Unicode MS" w:hAnsiTheme="minorHAnsi" w:cstheme="minorHAnsi"/>
              </w:rPr>
              <w:t>appropriate primary health care practitioner, Lead Maternity Carers) must</w:t>
            </w:r>
            <w:r w:rsidRPr="00E65FE2">
              <w:rPr>
                <w:rFonts w:asciiTheme="minorHAnsi" w:eastAsia="Arial Unicode MS" w:hAnsiTheme="minorHAnsi" w:cstheme="minorHAnsi"/>
              </w:rPr>
              <w:t xml:space="preserve"> meet to establish and maintain effective integration and coordination practices for dealing with patients who smoke and have been identified as at risk of oral health problems (B). </w:t>
            </w:r>
          </w:p>
          <w:p w:rsidR="0044493B" w:rsidRPr="00E65FE2" w:rsidRDefault="0044493B" w:rsidP="0044493B">
            <w:pPr>
              <w:pStyle w:val="ListParagraph"/>
              <w:numPr>
                <w:ilvl w:val="0"/>
                <w:numId w:val="26"/>
              </w:numPr>
              <w:spacing w:before="60" w:after="0" w:line="240" w:lineRule="auto"/>
              <w:ind w:left="426" w:hanging="284"/>
              <w:contextualSpacing w:val="0"/>
              <w:jc w:val="both"/>
              <w:rPr>
                <w:rFonts w:asciiTheme="minorHAnsi" w:eastAsia="Arial Unicode MS" w:hAnsiTheme="minorHAnsi" w:cstheme="minorHAnsi"/>
              </w:rPr>
            </w:pPr>
            <w:r>
              <w:rPr>
                <w:rFonts w:asciiTheme="minorHAnsi" w:eastAsia="Arial Unicode MS" w:hAnsiTheme="minorHAnsi" w:cstheme="minorHAnsi"/>
              </w:rPr>
              <w:t xml:space="preserve">All MOHP staff </w:t>
            </w:r>
            <w:r w:rsidRPr="00C45513">
              <w:rPr>
                <w:rFonts w:asciiTheme="minorHAnsi" w:eastAsia="Arial Unicode MS" w:hAnsiTheme="minorHAnsi" w:cstheme="minorHAnsi"/>
              </w:rPr>
              <w:t>must</w:t>
            </w:r>
            <w:r w:rsidRPr="00E65FE2">
              <w:rPr>
                <w:rFonts w:asciiTheme="minorHAnsi" w:eastAsia="Arial Unicode MS" w:hAnsiTheme="minorHAnsi" w:cstheme="minorHAnsi"/>
              </w:rPr>
              <w:t xml:space="preserve"> participate in a hui</w:t>
            </w:r>
            <w:r>
              <w:rPr>
                <w:rFonts w:asciiTheme="minorHAnsi" w:eastAsia="Arial Unicode MS" w:hAnsiTheme="minorHAnsi" w:cstheme="minorHAnsi"/>
              </w:rPr>
              <w:t xml:space="preserve"> with local cessation providers</w:t>
            </w:r>
            <w:r w:rsidRPr="00E65FE2">
              <w:rPr>
                <w:rFonts w:asciiTheme="minorHAnsi" w:eastAsia="Arial Unicode MS" w:hAnsiTheme="minorHAnsi" w:cstheme="minorHAnsi"/>
              </w:rPr>
              <w:t xml:space="preserve"> to </w:t>
            </w:r>
            <w:r>
              <w:rPr>
                <w:rFonts w:asciiTheme="minorHAnsi" w:eastAsia="Arial Unicode MS" w:hAnsiTheme="minorHAnsi" w:cstheme="minorHAnsi"/>
              </w:rPr>
              <w:t>review referral pathways and processes for effective exchange of information</w:t>
            </w:r>
          </w:p>
          <w:p w:rsidR="0044493B" w:rsidRPr="00E65FE2" w:rsidRDefault="0044493B" w:rsidP="0044493B">
            <w:pPr>
              <w:pStyle w:val="ListParagraph"/>
              <w:numPr>
                <w:ilvl w:val="0"/>
                <w:numId w:val="26"/>
              </w:numPr>
              <w:spacing w:before="60" w:after="0" w:line="240" w:lineRule="auto"/>
              <w:ind w:left="426" w:hanging="284"/>
              <w:contextualSpacing w:val="0"/>
              <w:jc w:val="both"/>
              <w:rPr>
                <w:rFonts w:asciiTheme="minorHAnsi" w:eastAsia="Arial Unicode MS" w:hAnsiTheme="minorHAnsi" w:cstheme="minorHAnsi"/>
              </w:rPr>
            </w:pPr>
            <w:r w:rsidRPr="00E65FE2">
              <w:rPr>
                <w:rFonts w:asciiTheme="minorHAnsi" w:eastAsia="Arial Unicode MS" w:hAnsiTheme="minorHAnsi" w:cstheme="minorHAnsi"/>
              </w:rPr>
              <w:t>Oral health practitione</w:t>
            </w:r>
            <w:r>
              <w:rPr>
                <w:rFonts w:asciiTheme="minorHAnsi" w:eastAsia="Arial Unicode MS" w:hAnsiTheme="minorHAnsi" w:cstheme="minorHAnsi"/>
              </w:rPr>
              <w:t>rs may consider education releva</w:t>
            </w:r>
            <w:r w:rsidRPr="00E65FE2">
              <w:rPr>
                <w:rFonts w:asciiTheme="minorHAnsi" w:eastAsia="Arial Unicode MS" w:hAnsiTheme="minorHAnsi" w:cstheme="minorHAnsi"/>
              </w:rPr>
              <w:t>nt to the component o</w:t>
            </w:r>
            <w:r>
              <w:rPr>
                <w:rFonts w:asciiTheme="minorHAnsi" w:eastAsia="Arial Unicode MS" w:hAnsiTheme="minorHAnsi" w:cstheme="minorHAnsi"/>
              </w:rPr>
              <w:t xml:space="preserve">f care they are providing (B). </w:t>
            </w:r>
            <w:r w:rsidRPr="00E65FE2">
              <w:rPr>
                <w:rFonts w:asciiTheme="minorHAnsi" w:eastAsia="Arial Unicode MS" w:hAnsiTheme="minorHAnsi" w:cstheme="minorHAnsi"/>
              </w:rPr>
              <w:t>For example, MOHP staff may consider education in:</w:t>
            </w:r>
          </w:p>
          <w:p w:rsidR="0044493B" w:rsidRPr="00E65FE2" w:rsidRDefault="0044493B" w:rsidP="0044493B">
            <w:pPr>
              <w:pStyle w:val="ListParagraph"/>
              <w:numPr>
                <w:ilvl w:val="0"/>
                <w:numId w:val="21"/>
              </w:numPr>
              <w:spacing w:after="0" w:line="240" w:lineRule="auto"/>
              <w:ind w:left="1071" w:hanging="357"/>
              <w:jc w:val="both"/>
              <w:rPr>
                <w:rFonts w:asciiTheme="minorHAnsi" w:eastAsia="Arial Unicode MS" w:hAnsiTheme="minorHAnsi" w:cstheme="minorHAnsi"/>
              </w:rPr>
            </w:pPr>
            <w:r w:rsidRPr="00E65FE2">
              <w:rPr>
                <w:rFonts w:asciiTheme="minorHAnsi" w:eastAsia="Arial Unicode MS" w:hAnsiTheme="minorHAnsi" w:cstheme="minorHAnsi"/>
              </w:rPr>
              <w:t>motivational interviewing techniques</w:t>
            </w:r>
          </w:p>
          <w:p w:rsidR="0044493B" w:rsidRPr="0003701A" w:rsidRDefault="0044493B" w:rsidP="0044493B">
            <w:pPr>
              <w:pStyle w:val="ListParagraph"/>
              <w:numPr>
                <w:ilvl w:val="0"/>
                <w:numId w:val="21"/>
              </w:numPr>
              <w:spacing w:after="0" w:line="240" w:lineRule="auto"/>
              <w:ind w:left="1071" w:hanging="357"/>
              <w:jc w:val="both"/>
              <w:rPr>
                <w:rFonts w:asciiTheme="minorHAnsi" w:eastAsia="Arial Unicode MS" w:hAnsiTheme="minorHAnsi" w:cstheme="minorHAnsi"/>
              </w:rPr>
            </w:pPr>
            <w:r w:rsidRPr="00E65FE2">
              <w:rPr>
                <w:rFonts w:asciiTheme="minorHAnsi" w:eastAsia="Arial Unicode MS" w:hAnsiTheme="minorHAnsi" w:cstheme="minorHAnsi"/>
              </w:rPr>
              <w:t>ABC for pregnant women and/or young people</w:t>
            </w:r>
          </w:p>
          <w:p w:rsidR="004A46DC" w:rsidRDefault="0044493B" w:rsidP="004A46DC">
            <w:pPr>
              <w:pStyle w:val="ListParagraph"/>
              <w:numPr>
                <w:ilvl w:val="0"/>
                <w:numId w:val="26"/>
              </w:numPr>
              <w:spacing w:before="60" w:after="0" w:line="240" w:lineRule="auto"/>
              <w:ind w:left="426" w:hanging="284"/>
              <w:contextualSpacing w:val="0"/>
              <w:jc w:val="both"/>
              <w:rPr>
                <w:rFonts w:asciiTheme="minorHAnsi" w:eastAsia="Arial Unicode MS" w:hAnsiTheme="minorHAnsi" w:cstheme="minorHAnsi"/>
              </w:rPr>
            </w:pPr>
            <w:r w:rsidRPr="00E65FE2">
              <w:rPr>
                <w:rFonts w:asciiTheme="minorHAnsi" w:eastAsia="Arial Unicode MS" w:hAnsiTheme="minorHAnsi" w:cstheme="minorHAnsi"/>
              </w:rPr>
              <w:t>Increase awareness of other programmes and support services being accessed by, and available to wh</w:t>
            </w:r>
            <w:r w:rsidR="005F49E6">
              <w:rPr>
                <w:rFonts w:asciiTheme="minorHAnsi" w:eastAsia="Arial Unicode MS" w:hAnsiTheme="minorHAnsi" w:cstheme="minorHAnsi"/>
              </w:rPr>
              <w:t>ā</w:t>
            </w:r>
            <w:r w:rsidRPr="00E65FE2">
              <w:rPr>
                <w:rFonts w:asciiTheme="minorHAnsi" w:eastAsia="Arial Unicode MS" w:hAnsiTheme="minorHAnsi" w:cstheme="minorHAnsi"/>
              </w:rPr>
              <w:t>nau (B). This will ensu</w:t>
            </w:r>
            <w:r w:rsidR="004A46DC">
              <w:rPr>
                <w:rFonts w:asciiTheme="minorHAnsi" w:eastAsia="Arial Unicode MS" w:hAnsiTheme="minorHAnsi" w:cstheme="minorHAnsi"/>
              </w:rPr>
              <w:t>re oral health practitioners</w:t>
            </w:r>
            <w:r w:rsidRPr="00E65FE2">
              <w:rPr>
                <w:rFonts w:asciiTheme="minorHAnsi" w:eastAsia="Arial Unicode MS" w:hAnsiTheme="minorHAnsi" w:cstheme="minorHAnsi"/>
              </w:rPr>
              <w:t xml:space="preserve"> have confidence in the range of programmes,  and that they are appropriate for wh</w:t>
            </w:r>
            <w:r w:rsidR="005F49E6">
              <w:rPr>
                <w:rFonts w:asciiTheme="minorHAnsi" w:eastAsia="Arial Unicode MS" w:hAnsiTheme="minorHAnsi" w:cstheme="minorHAnsi"/>
              </w:rPr>
              <w:t>ā</w:t>
            </w:r>
            <w:r w:rsidRPr="00E65FE2">
              <w:rPr>
                <w:rFonts w:asciiTheme="minorHAnsi" w:eastAsia="Arial Unicode MS" w:hAnsiTheme="minorHAnsi" w:cstheme="minorHAnsi"/>
              </w:rPr>
              <w:t xml:space="preserve">nau </w:t>
            </w:r>
          </w:p>
          <w:p w:rsidR="0044493B" w:rsidRPr="004A46DC" w:rsidRDefault="0044493B" w:rsidP="004A46DC">
            <w:pPr>
              <w:pStyle w:val="ListParagraph"/>
              <w:numPr>
                <w:ilvl w:val="0"/>
                <w:numId w:val="26"/>
              </w:numPr>
              <w:spacing w:before="60" w:after="0" w:line="240" w:lineRule="auto"/>
              <w:ind w:left="426" w:hanging="284"/>
              <w:contextualSpacing w:val="0"/>
              <w:jc w:val="both"/>
              <w:rPr>
                <w:rFonts w:asciiTheme="minorHAnsi" w:eastAsia="Arial Unicode MS" w:hAnsiTheme="minorHAnsi" w:cstheme="minorHAnsi"/>
              </w:rPr>
            </w:pPr>
            <w:r w:rsidRPr="004A46DC">
              <w:rPr>
                <w:rFonts w:asciiTheme="minorHAnsi" w:eastAsia="Arial Unicode MS" w:hAnsiTheme="minorHAnsi" w:cstheme="minorHAnsi"/>
              </w:rPr>
              <w:t>MOHP should be informed of local activities (B) and consider the role they can play in the advocacy of wider tobacco control policies to actively contribute to the reduction of smoking related illnesses in their community (A)</w:t>
            </w:r>
          </w:p>
        </w:tc>
      </w:tr>
    </w:tbl>
    <w:p w:rsidR="00AD50E8" w:rsidRPr="004C0A1B" w:rsidRDefault="002D45D4" w:rsidP="00A37B13">
      <w:pPr>
        <w:autoSpaceDE w:val="0"/>
        <w:autoSpaceDN w:val="0"/>
        <w:adjustRightInd w:val="0"/>
        <w:jc w:val="both"/>
        <w:rPr>
          <w:rFonts w:asciiTheme="minorHAnsi" w:eastAsia="Arial Unicode MS" w:hAnsiTheme="minorHAnsi" w:cstheme="minorHAnsi"/>
          <w:sz w:val="16"/>
          <w:szCs w:val="16"/>
          <w:lang w:eastAsia="en-NZ"/>
        </w:rPr>
      </w:pPr>
      <w:r w:rsidRPr="004C0A1B">
        <w:rPr>
          <w:rFonts w:asciiTheme="minorHAnsi" w:eastAsia="Arial Unicode MS" w:hAnsiTheme="minorHAnsi" w:cstheme="minorHAnsi"/>
          <w:sz w:val="16"/>
          <w:szCs w:val="16"/>
          <w:lang w:eastAsia="en-NZ"/>
        </w:rPr>
        <w:t>Key to Grades of Recommendations</w:t>
      </w:r>
    </w:p>
    <w:p w:rsidR="00AD50E8" w:rsidRPr="004C0A1B" w:rsidRDefault="002D45D4" w:rsidP="00CF26CB">
      <w:pPr>
        <w:autoSpaceDE w:val="0"/>
        <w:autoSpaceDN w:val="0"/>
        <w:adjustRightInd w:val="0"/>
        <w:jc w:val="both"/>
        <w:rPr>
          <w:rFonts w:asciiTheme="minorHAnsi" w:eastAsia="Arial Unicode MS" w:hAnsiTheme="minorHAnsi" w:cstheme="minorHAnsi"/>
          <w:sz w:val="16"/>
          <w:szCs w:val="16"/>
          <w:lang w:eastAsia="en-NZ"/>
        </w:rPr>
      </w:pPr>
      <w:r w:rsidRPr="004C0A1B">
        <w:rPr>
          <w:rFonts w:asciiTheme="minorHAnsi" w:eastAsia="Arial Unicode MS" w:hAnsiTheme="minorHAnsi" w:cstheme="minorHAnsi"/>
          <w:sz w:val="16"/>
          <w:szCs w:val="16"/>
          <w:lang w:eastAsia="en-NZ"/>
        </w:rPr>
        <w:t>A: The recommendation is supported by GOOD (strong) evidence.</w:t>
      </w:r>
    </w:p>
    <w:p w:rsidR="00AD50E8" w:rsidRPr="004C0A1B" w:rsidRDefault="002D45D4" w:rsidP="0085634C">
      <w:pPr>
        <w:autoSpaceDE w:val="0"/>
        <w:autoSpaceDN w:val="0"/>
        <w:adjustRightInd w:val="0"/>
        <w:jc w:val="both"/>
        <w:rPr>
          <w:rFonts w:asciiTheme="minorHAnsi" w:eastAsia="Arial Unicode MS" w:hAnsiTheme="minorHAnsi" w:cstheme="minorHAnsi"/>
          <w:sz w:val="22"/>
          <w:szCs w:val="22"/>
        </w:rPr>
      </w:pPr>
      <w:r w:rsidRPr="004C0A1B">
        <w:rPr>
          <w:rFonts w:asciiTheme="minorHAnsi" w:eastAsia="Arial Unicode MS" w:hAnsiTheme="minorHAnsi" w:cstheme="minorHAnsi"/>
          <w:sz w:val="16"/>
          <w:szCs w:val="16"/>
          <w:lang w:eastAsia="en-NZ"/>
        </w:rPr>
        <w:t xml:space="preserve">B: The integrated best practice is supported by the </w:t>
      </w:r>
      <w:r w:rsidR="00DF6FA7" w:rsidRPr="004C0A1B">
        <w:rPr>
          <w:rFonts w:asciiTheme="minorHAnsi" w:eastAsia="Arial Unicode MS" w:hAnsiTheme="minorHAnsi" w:cstheme="minorHAnsi"/>
          <w:sz w:val="16"/>
          <w:szCs w:val="16"/>
          <w:lang w:eastAsia="en-NZ"/>
        </w:rPr>
        <w:t>Māori</w:t>
      </w:r>
      <w:r w:rsidRPr="004C0A1B">
        <w:rPr>
          <w:rFonts w:asciiTheme="minorHAnsi" w:eastAsia="Arial Unicode MS" w:hAnsiTheme="minorHAnsi" w:cstheme="minorHAnsi"/>
          <w:sz w:val="16"/>
          <w:szCs w:val="16"/>
          <w:lang w:eastAsia="en-NZ"/>
        </w:rPr>
        <w:t xml:space="preserve"> oral health provider Quality Improvement Group. </w:t>
      </w:r>
    </w:p>
    <w:p w:rsidR="00E65FE2" w:rsidRPr="0008344E" w:rsidRDefault="00E65FE2" w:rsidP="0008344E">
      <w:pPr>
        <w:rPr>
          <w:rFonts w:eastAsia="Arial Unicode MS"/>
        </w:rPr>
      </w:pPr>
    </w:p>
    <w:p w:rsidR="0017504A" w:rsidRDefault="00D57B50" w:rsidP="00DA6437">
      <w:pPr>
        <w:pStyle w:val="generalsubheading"/>
      </w:pPr>
      <w:bookmarkStart w:id="19" w:name="_Toc473485921"/>
      <w:r w:rsidRPr="005F0AA6">
        <w:t>OTHER KEY GUIDELINES AND DOCUMENTS</w:t>
      </w:r>
      <w:bookmarkEnd w:id="19"/>
    </w:p>
    <w:p w:rsidR="0017504A" w:rsidRPr="00E65FE2" w:rsidRDefault="00525157" w:rsidP="004C0A1B">
      <w:pPr>
        <w:spacing w:before="240"/>
        <w:jc w:val="both"/>
        <w:rPr>
          <w:rFonts w:asciiTheme="minorHAnsi" w:hAnsiTheme="minorHAnsi" w:cstheme="minorHAnsi"/>
          <w:sz w:val="22"/>
          <w:szCs w:val="22"/>
        </w:rPr>
      </w:pPr>
      <w:r w:rsidRPr="00E65FE2">
        <w:rPr>
          <w:rFonts w:asciiTheme="minorHAnsi" w:hAnsiTheme="minorHAnsi" w:cstheme="minorHAnsi"/>
          <w:sz w:val="22"/>
          <w:szCs w:val="22"/>
        </w:rPr>
        <w:t>Beaglehole. R</w:t>
      </w:r>
      <w:r w:rsidR="00E261B2" w:rsidRPr="00E65FE2">
        <w:rPr>
          <w:rFonts w:asciiTheme="minorHAnsi" w:hAnsiTheme="minorHAnsi" w:cstheme="minorHAnsi"/>
          <w:sz w:val="22"/>
          <w:szCs w:val="22"/>
        </w:rPr>
        <w:t xml:space="preserve">, Watt, RG. (2004). </w:t>
      </w:r>
      <w:r w:rsidRPr="00E65FE2">
        <w:rPr>
          <w:rFonts w:asciiTheme="minorHAnsi" w:hAnsiTheme="minorHAnsi" w:cstheme="minorHAnsi"/>
          <w:i/>
          <w:sz w:val="22"/>
          <w:szCs w:val="22"/>
        </w:rPr>
        <w:t>Help smokers stop: A guide for the dental team</w:t>
      </w:r>
      <w:r w:rsidRPr="00E65FE2">
        <w:rPr>
          <w:rFonts w:asciiTheme="minorHAnsi" w:hAnsiTheme="minorHAnsi" w:cstheme="minorHAnsi"/>
          <w:sz w:val="22"/>
          <w:szCs w:val="22"/>
        </w:rPr>
        <w:t>.</w:t>
      </w:r>
      <w:r w:rsidR="00E261B2" w:rsidRPr="00E65FE2">
        <w:rPr>
          <w:rFonts w:asciiTheme="minorHAnsi" w:hAnsiTheme="minorHAnsi" w:cstheme="minorHAnsi"/>
          <w:sz w:val="22"/>
          <w:szCs w:val="22"/>
        </w:rPr>
        <w:t xml:space="preserve"> London: </w:t>
      </w:r>
      <w:r w:rsidR="008C2C8D" w:rsidRPr="00E65FE2">
        <w:rPr>
          <w:rFonts w:asciiTheme="minorHAnsi" w:hAnsiTheme="minorHAnsi" w:cstheme="minorHAnsi"/>
          <w:sz w:val="22"/>
          <w:szCs w:val="22"/>
        </w:rPr>
        <w:t>Health Development Agency.</w:t>
      </w:r>
    </w:p>
    <w:p w:rsidR="0017504A" w:rsidRPr="00E65FE2" w:rsidRDefault="0017504A">
      <w:pPr>
        <w:jc w:val="both"/>
        <w:rPr>
          <w:rFonts w:asciiTheme="minorHAnsi" w:hAnsiTheme="minorHAnsi" w:cstheme="minorHAnsi"/>
          <w:sz w:val="22"/>
          <w:szCs w:val="22"/>
        </w:rPr>
      </w:pPr>
    </w:p>
    <w:p w:rsidR="0017504A" w:rsidRPr="00E65FE2" w:rsidRDefault="0091021F">
      <w:pPr>
        <w:jc w:val="both"/>
        <w:rPr>
          <w:rFonts w:asciiTheme="minorHAnsi" w:hAnsiTheme="minorHAnsi" w:cstheme="minorHAnsi"/>
          <w:sz w:val="22"/>
          <w:szCs w:val="22"/>
        </w:rPr>
      </w:pPr>
      <w:r w:rsidRPr="00E65FE2">
        <w:rPr>
          <w:rFonts w:asciiTheme="minorHAnsi" w:hAnsiTheme="minorHAnsi" w:cstheme="minorHAnsi"/>
          <w:sz w:val="22"/>
          <w:szCs w:val="22"/>
        </w:rPr>
        <w:t xml:space="preserve">Ministry of Health. (2007). </w:t>
      </w:r>
      <w:r w:rsidRPr="00E65FE2">
        <w:rPr>
          <w:rFonts w:asciiTheme="minorHAnsi" w:hAnsiTheme="minorHAnsi" w:cstheme="minorHAnsi"/>
          <w:i/>
          <w:sz w:val="22"/>
          <w:szCs w:val="22"/>
        </w:rPr>
        <w:t>New Zealand Smoking Cessation Guidelines</w:t>
      </w:r>
      <w:r w:rsidRPr="00E65FE2">
        <w:rPr>
          <w:rFonts w:asciiTheme="minorHAnsi" w:hAnsiTheme="minorHAnsi" w:cstheme="minorHAnsi"/>
          <w:sz w:val="22"/>
          <w:szCs w:val="22"/>
        </w:rPr>
        <w:t xml:space="preserve">. Wellington: Ministry of Health. </w:t>
      </w:r>
    </w:p>
    <w:p w:rsidR="00C242D1" w:rsidRPr="00E65FE2" w:rsidRDefault="00C242D1" w:rsidP="00C242D1">
      <w:pPr>
        <w:jc w:val="both"/>
        <w:rPr>
          <w:rFonts w:asciiTheme="minorHAnsi" w:hAnsiTheme="minorHAnsi" w:cstheme="minorHAnsi"/>
          <w:sz w:val="22"/>
          <w:szCs w:val="22"/>
        </w:rPr>
      </w:pPr>
    </w:p>
    <w:p w:rsidR="00C242D1" w:rsidRPr="00E65FE2" w:rsidRDefault="00C242D1" w:rsidP="00C242D1">
      <w:pPr>
        <w:jc w:val="both"/>
        <w:rPr>
          <w:rFonts w:asciiTheme="minorHAnsi" w:hAnsiTheme="minorHAnsi" w:cstheme="minorHAnsi"/>
          <w:sz w:val="22"/>
          <w:szCs w:val="22"/>
        </w:rPr>
      </w:pPr>
      <w:r w:rsidRPr="00E65FE2">
        <w:rPr>
          <w:rFonts w:asciiTheme="minorHAnsi" w:hAnsiTheme="minorHAnsi" w:cstheme="minorHAnsi"/>
          <w:sz w:val="22"/>
          <w:szCs w:val="22"/>
        </w:rPr>
        <w:t xml:space="preserve">Ministry of Health. (2011). </w:t>
      </w:r>
      <w:r w:rsidRPr="00E65FE2">
        <w:rPr>
          <w:rFonts w:asciiTheme="minorHAnsi" w:hAnsiTheme="minorHAnsi" w:cstheme="minorHAnsi"/>
          <w:i/>
          <w:sz w:val="22"/>
          <w:szCs w:val="22"/>
        </w:rPr>
        <w:t>Māori Smoking and Tobacco Use 2011</w:t>
      </w:r>
      <w:r w:rsidRPr="00E65FE2">
        <w:rPr>
          <w:rFonts w:asciiTheme="minorHAnsi" w:hAnsiTheme="minorHAnsi" w:cstheme="minorHAnsi"/>
          <w:sz w:val="22"/>
          <w:szCs w:val="22"/>
        </w:rPr>
        <w:t>. Wellington: Ministry of Health.</w:t>
      </w:r>
    </w:p>
    <w:p w:rsidR="0017504A" w:rsidRPr="00E65FE2" w:rsidRDefault="0017504A">
      <w:pPr>
        <w:jc w:val="both"/>
        <w:rPr>
          <w:rFonts w:asciiTheme="minorHAnsi" w:hAnsiTheme="minorHAnsi" w:cstheme="minorHAnsi"/>
          <w:sz w:val="22"/>
          <w:szCs w:val="22"/>
        </w:rPr>
      </w:pPr>
    </w:p>
    <w:p w:rsidR="0017504A" w:rsidRPr="00E65FE2" w:rsidRDefault="00675A98">
      <w:pPr>
        <w:jc w:val="both"/>
        <w:rPr>
          <w:rFonts w:asciiTheme="minorHAnsi" w:hAnsiTheme="minorHAnsi" w:cstheme="minorHAnsi"/>
          <w:sz w:val="22"/>
          <w:szCs w:val="22"/>
        </w:rPr>
      </w:pPr>
      <w:r w:rsidRPr="00E65FE2">
        <w:rPr>
          <w:rFonts w:asciiTheme="minorHAnsi" w:hAnsiTheme="minorHAnsi" w:cstheme="minorHAnsi"/>
          <w:sz w:val="22"/>
          <w:szCs w:val="22"/>
        </w:rPr>
        <w:t xml:space="preserve">Robson B, Harris R. (eds). (2007). </w:t>
      </w:r>
      <w:r w:rsidRPr="00E65FE2">
        <w:rPr>
          <w:rFonts w:asciiTheme="minorHAnsi" w:hAnsiTheme="minorHAnsi" w:cstheme="minorHAnsi"/>
          <w:i/>
          <w:sz w:val="22"/>
          <w:szCs w:val="22"/>
        </w:rPr>
        <w:t xml:space="preserve">Hauora: </w:t>
      </w:r>
      <w:r w:rsidR="00DF6FA7" w:rsidRPr="00E65FE2">
        <w:rPr>
          <w:rFonts w:asciiTheme="minorHAnsi" w:hAnsiTheme="minorHAnsi" w:cstheme="minorHAnsi"/>
          <w:i/>
          <w:sz w:val="22"/>
          <w:szCs w:val="22"/>
        </w:rPr>
        <w:t>Māori</w:t>
      </w:r>
      <w:r w:rsidRPr="00E65FE2">
        <w:rPr>
          <w:rFonts w:asciiTheme="minorHAnsi" w:hAnsiTheme="minorHAnsi" w:cstheme="minorHAnsi"/>
          <w:i/>
          <w:sz w:val="22"/>
          <w:szCs w:val="22"/>
        </w:rPr>
        <w:t xml:space="preserve"> standards of Health IV. A study of the years 2000-2005</w:t>
      </w:r>
      <w:r w:rsidRPr="00E65FE2">
        <w:rPr>
          <w:rFonts w:asciiTheme="minorHAnsi" w:hAnsiTheme="minorHAnsi" w:cstheme="minorHAnsi"/>
          <w:sz w:val="22"/>
          <w:szCs w:val="22"/>
        </w:rPr>
        <w:t>. Wellington: Te Roopu Rangahau Hauora a Eru Pomare</w:t>
      </w:r>
    </w:p>
    <w:p w:rsidR="0017504A" w:rsidRDefault="00DC6211" w:rsidP="0036356E">
      <w:pPr>
        <w:pStyle w:val="Heading1"/>
      </w:pPr>
      <w:bookmarkStart w:id="20" w:name="_Toc473485922"/>
      <w:r w:rsidRPr="005F0AA6">
        <w:lastRenderedPageBreak/>
        <w:t>NGĀ</w:t>
      </w:r>
      <w:r w:rsidR="002D45D4" w:rsidRPr="005F0AA6">
        <w:t xml:space="preserve"> ARA TIKA: INTEGRATED PRACTICES FOR RHEUMATIC FEVER</w:t>
      </w:r>
      <w:bookmarkEnd w:id="20"/>
    </w:p>
    <w:p w:rsidR="002B05D2" w:rsidRPr="002B05D2" w:rsidRDefault="00634C22" w:rsidP="00B34C30">
      <w:pPr>
        <w:pStyle w:val="generalaimheading"/>
      </w:pPr>
      <w:r>
        <w:rPr>
          <w:rFonts w:ascii="Times New Roman" w:hAnsi="Times New Roman"/>
        </w:rPr>
        <mc:AlternateContent>
          <mc:Choice Requires="wps">
            <w:drawing>
              <wp:anchor distT="0" distB="0" distL="114300" distR="114300" simplePos="0" relativeHeight="251667456" behindDoc="0" locked="0" layoutInCell="1" allowOverlap="1">
                <wp:simplePos x="0" y="0"/>
                <wp:positionH relativeFrom="column">
                  <wp:posOffset>-28575</wp:posOffset>
                </wp:positionH>
                <wp:positionV relativeFrom="paragraph">
                  <wp:posOffset>279400</wp:posOffset>
                </wp:positionV>
                <wp:extent cx="5660390" cy="638175"/>
                <wp:effectExtent l="0" t="0" r="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0390" cy="638175"/>
                        </a:xfrm>
                        <a:prstGeom prst="rect">
                          <a:avLst/>
                        </a:prstGeom>
                        <a:solidFill>
                          <a:srgbClr val="42D0B8">
                            <a:alpha val="10000"/>
                          </a:srgbClr>
                        </a:solidFill>
                        <a:ln w="25400" cap="flat" cmpd="sng" algn="ctr">
                          <a:noFill/>
                          <a:prstDash val="solid"/>
                        </a:ln>
                        <a:effectLst/>
                      </wps:spPr>
                      <wps:txbx>
                        <w:txbxContent>
                          <w:p w:rsidR="00C37D18" w:rsidRDefault="00C37D18" w:rsidP="002A7DE9">
                            <w:pPr>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8" style="position:absolute;left:0;text-align:left;margin-left:-2.25pt;margin-top:22pt;width:445.7pt;height:5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" fillcolor="#42d0b8" stroked="f" strokeweight="2pt">
                <v:fill opacity="6682f"/>
                <v:path arrowok="t"/>
                <v:textbox>
                  <w:txbxContent>
                    <w:p w:rsidR="00C37D18" w:rsidRDefault="00C37D18" w:rsidP="002A7DE9">
                      <w:pPr>
                        <w:jc w:val="both"/>
                      </w:pPr>
                    </w:p>
                  </w:txbxContent>
                </v:textbox>
              </v:rect>
            </w:pict>
          </mc:Fallback>
        </mc:AlternateContent>
      </w:r>
      <w:r>
        <w:rPr>
          <w:rFonts w:ascii="Times New Roman" w:hAnsi="Times New Roman"/>
        </w:rPr>
        <mc:AlternateContent>
          <mc:Choice Requires="wps">
            <w:drawing>
              <wp:anchor distT="0" distB="0" distL="114300" distR="114300" simplePos="0" relativeHeight="251666432" behindDoc="1" locked="0" layoutInCell="1" allowOverlap="1">
                <wp:simplePos x="0" y="0"/>
                <wp:positionH relativeFrom="column">
                  <wp:posOffset>-27940</wp:posOffset>
                </wp:positionH>
                <wp:positionV relativeFrom="paragraph">
                  <wp:posOffset>45085</wp:posOffset>
                </wp:positionV>
                <wp:extent cx="5659755" cy="249555"/>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9755" cy="249555"/>
                        </a:xfrm>
                        <a:prstGeom prst="rect">
                          <a:avLst/>
                        </a:prstGeom>
                        <a:solidFill>
                          <a:srgbClr val="42D0B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FE6726" id="Rectangle 11" o:spid="_x0000_s1026" style="position:absolute;margin-left:-2.2pt;margin-top:3.55pt;width:445.65pt;height:19.6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" fillcolor="#42d0b8" stroked="f" strokeweight="2pt">
                <v:path arrowok="t"/>
              </v:rect>
            </w:pict>
          </mc:Fallback>
        </mc:AlternateContent>
      </w:r>
      <w:r w:rsidR="00F8742A">
        <w:t>AIM</w:t>
      </w:r>
    </w:p>
    <w:p w:rsidR="00943D1E" w:rsidRPr="002B05D2" w:rsidRDefault="00943D1E" w:rsidP="00943D1E">
      <w:pPr>
        <w:pStyle w:val="generalaimtext"/>
      </w:pPr>
      <w:r w:rsidRPr="002B05D2">
        <w:t>To contribute to the early identification</w:t>
      </w:r>
      <w:r>
        <w:t xml:space="preserve">, treatment, and management of </w:t>
      </w:r>
      <w:r w:rsidRPr="002B05D2">
        <w:t>Group A beta-</w:t>
      </w:r>
      <w:r>
        <w:t>h</w:t>
      </w:r>
      <w:r w:rsidRPr="002B05D2">
        <w:t xml:space="preserve">aemolytic streptococcal pharyngitis throat infection, and the prevention of Acute Rheumatic Fever among children aged </w:t>
      </w:r>
      <w:r w:rsidR="00F3231F">
        <w:t>4 – 19</w:t>
      </w:r>
      <w:r>
        <w:t xml:space="preserve"> </w:t>
      </w:r>
      <w:r w:rsidRPr="002B05D2">
        <w:t xml:space="preserve">years, and </w:t>
      </w:r>
      <w:r>
        <w:t>Māori</w:t>
      </w:r>
      <w:r w:rsidRPr="002B05D2">
        <w:t xml:space="preserve"> and Pacific children </w:t>
      </w:r>
    </w:p>
    <w:p w:rsidR="00943D1E" w:rsidRPr="005F0AA6" w:rsidRDefault="00943D1E" w:rsidP="00943D1E">
      <w:pPr>
        <w:pStyle w:val="Default"/>
        <w:jc w:val="both"/>
        <w:rPr>
          <w:rFonts w:ascii="Times New Roman" w:eastAsia="Arial Unicode MS" w:hAnsi="Times New Roman"/>
          <w:color w:val="auto"/>
          <w:sz w:val="22"/>
          <w:szCs w:val="22"/>
        </w:rPr>
      </w:pPr>
    </w:p>
    <w:p w:rsidR="00825534" w:rsidRPr="005F0AA6" w:rsidRDefault="002D45D4" w:rsidP="00DA6437">
      <w:pPr>
        <w:pStyle w:val="generalsubheading"/>
      </w:pPr>
      <w:bookmarkStart w:id="21" w:name="_Toc473485923"/>
      <w:r w:rsidRPr="005F0AA6">
        <w:t>R</w:t>
      </w:r>
      <w:r w:rsidR="00DF6FA7">
        <w:t>ATIONALE</w:t>
      </w:r>
      <w:bookmarkEnd w:id="21"/>
    </w:p>
    <w:p w:rsidR="00943D1E" w:rsidRPr="00943D1E" w:rsidRDefault="00943D1E" w:rsidP="002A7DE9">
      <w:pPr>
        <w:pStyle w:val="Default"/>
        <w:jc w:val="both"/>
        <w:rPr>
          <w:sz w:val="22"/>
          <w:szCs w:val="22"/>
          <w:lang w:eastAsia="en-NZ"/>
        </w:rPr>
      </w:pPr>
      <w:r w:rsidRPr="00943D1E">
        <w:rPr>
          <w:sz w:val="22"/>
          <w:szCs w:val="22"/>
          <w:lang w:eastAsia="en-NZ"/>
        </w:rPr>
        <w:t xml:space="preserve">Acute Rheumatic Fever (ARF) is a serious disease that disproportionately affects tamariki Māori, Pacific children, and those living in certain locations in the North Island.  </w:t>
      </w:r>
      <w:r w:rsidRPr="00943D1E">
        <w:rPr>
          <w:sz w:val="22"/>
          <w:szCs w:val="22"/>
        </w:rPr>
        <w:t xml:space="preserve"> ARF can occur </w:t>
      </w:r>
      <w:r w:rsidRPr="00943D1E">
        <w:rPr>
          <w:sz w:val="22"/>
          <w:szCs w:val="22"/>
          <w:lang w:eastAsia="en-NZ"/>
        </w:rPr>
        <w:t>after a ‘strep throat’ – a throat infection caused by Group A Streptococcus (GAS) bacteria. Most strep throats get better and do not lead to ARF. However, in a small number of people</w:t>
      </w:r>
      <w:r w:rsidR="005F49E6">
        <w:rPr>
          <w:sz w:val="22"/>
          <w:szCs w:val="22"/>
          <w:lang w:eastAsia="en-NZ"/>
        </w:rPr>
        <w:t>,</w:t>
      </w:r>
      <w:r w:rsidRPr="00943D1E">
        <w:rPr>
          <w:sz w:val="22"/>
          <w:szCs w:val="22"/>
          <w:lang w:eastAsia="en-NZ"/>
        </w:rPr>
        <w:t xml:space="preserve"> an untreated strep throat causes an 'autoimmune reaction' where the body attacks itself. This autoimmune reaction causes rheumatic fever and the heart, joints, brain and skin become inflamed and swollen. </w:t>
      </w:r>
      <w:r w:rsidR="00C45513">
        <w:rPr>
          <w:sz w:val="22"/>
          <w:szCs w:val="22"/>
          <w:lang w:eastAsia="en-NZ"/>
        </w:rPr>
        <w:t xml:space="preserve"> </w:t>
      </w:r>
    </w:p>
    <w:p w:rsidR="00943D1E" w:rsidRPr="00943D1E" w:rsidRDefault="00943D1E" w:rsidP="00943D1E">
      <w:pPr>
        <w:pStyle w:val="Default"/>
        <w:rPr>
          <w:sz w:val="22"/>
          <w:szCs w:val="22"/>
          <w:lang w:eastAsia="en-NZ"/>
        </w:rPr>
      </w:pPr>
    </w:p>
    <w:p w:rsidR="00943D1E" w:rsidRPr="00943D1E" w:rsidRDefault="00943D1E" w:rsidP="002A7DE9">
      <w:pPr>
        <w:pStyle w:val="Default"/>
        <w:jc w:val="both"/>
        <w:rPr>
          <w:sz w:val="22"/>
          <w:szCs w:val="22"/>
          <w:lang w:eastAsia="en-NZ"/>
        </w:rPr>
      </w:pPr>
      <w:r w:rsidRPr="00943D1E">
        <w:rPr>
          <w:sz w:val="22"/>
          <w:szCs w:val="22"/>
          <w:lang w:eastAsia="en-NZ"/>
        </w:rPr>
        <w:t>While the symptoms of rheumatic fever may disappear on their own, the inflammation can cause rheumatic heart disease, where there is scarring of the heart valves. People with rheumatic heart disease may need heart valve replacement surgery, and it can cause premature death.</w:t>
      </w:r>
      <w:r w:rsidR="00BD123A">
        <w:rPr>
          <w:sz w:val="22"/>
          <w:szCs w:val="22"/>
          <w:lang w:eastAsia="en-NZ"/>
        </w:rPr>
        <w:t xml:space="preserve"> </w:t>
      </w:r>
      <w:r w:rsidRPr="00943D1E">
        <w:rPr>
          <w:sz w:val="22"/>
          <w:szCs w:val="22"/>
          <w:lang w:eastAsia="en-NZ"/>
        </w:rPr>
        <w:t>The health burden for a child with ARF and the impact on wh</w:t>
      </w:r>
      <w:r w:rsidR="005F49E6">
        <w:rPr>
          <w:sz w:val="22"/>
          <w:szCs w:val="22"/>
          <w:lang w:eastAsia="en-NZ"/>
        </w:rPr>
        <w:t>ā</w:t>
      </w:r>
      <w:r w:rsidRPr="00943D1E">
        <w:rPr>
          <w:sz w:val="22"/>
          <w:szCs w:val="22"/>
          <w:lang w:eastAsia="en-NZ"/>
        </w:rPr>
        <w:t>nau can be significant. ARF requires long term medical care, particularly if it results in rheumatic heart disease, which can result in disruption to learning, social development, wh</w:t>
      </w:r>
      <w:r w:rsidR="005F49E6">
        <w:rPr>
          <w:sz w:val="22"/>
          <w:szCs w:val="22"/>
          <w:lang w:eastAsia="en-NZ"/>
        </w:rPr>
        <w:t>ā</w:t>
      </w:r>
      <w:r w:rsidRPr="00943D1E">
        <w:rPr>
          <w:sz w:val="22"/>
          <w:szCs w:val="22"/>
          <w:lang w:eastAsia="en-NZ"/>
        </w:rPr>
        <w:t>nau relationships, as well as a financial cost to wh</w:t>
      </w:r>
      <w:r w:rsidR="005F49E6">
        <w:rPr>
          <w:sz w:val="22"/>
          <w:szCs w:val="22"/>
          <w:lang w:eastAsia="en-NZ"/>
        </w:rPr>
        <w:t>ā</w:t>
      </w:r>
      <w:r w:rsidRPr="00943D1E">
        <w:rPr>
          <w:sz w:val="22"/>
          <w:szCs w:val="22"/>
          <w:lang w:eastAsia="en-NZ"/>
        </w:rPr>
        <w:t xml:space="preserve">nau and the health system. </w:t>
      </w:r>
    </w:p>
    <w:p w:rsidR="00943D1E" w:rsidRPr="00943D1E" w:rsidRDefault="00943D1E" w:rsidP="00943D1E">
      <w:pPr>
        <w:pStyle w:val="Default"/>
        <w:rPr>
          <w:sz w:val="22"/>
          <w:szCs w:val="22"/>
          <w:lang w:eastAsia="en-NZ"/>
        </w:rPr>
      </w:pPr>
    </w:p>
    <w:p w:rsidR="00943D1E" w:rsidRPr="00943D1E" w:rsidRDefault="00943D1E" w:rsidP="002A7DE9">
      <w:pPr>
        <w:pStyle w:val="Default"/>
        <w:jc w:val="both"/>
        <w:rPr>
          <w:sz w:val="22"/>
          <w:szCs w:val="22"/>
        </w:rPr>
      </w:pPr>
      <w:r w:rsidRPr="00943D1E">
        <w:rPr>
          <w:sz w:val="22"/>
          <w:szCs w:val="22"/>
          <w:lang w:eastAsia="en-NZ"/>
        </w:rPr>
        <w:t>ARF can be prevented through the early identification and treatment of a strep throat. All sore throats should be checked by a health professional and if a strep throat is</w:t>
      </w:r>
      <w:r w:rsidRPr="00943D1E">
        <w:rPr>
          <w:sz w:val="22"/>
          <w:szCs w:val="22"/>
        </w:rPr>
        <w:t xml:space="preserve"> suspected, antibiotics should be prescribed. </w:t>
      </w:r>
    </w:p>
    <w:p w:rsidR="00943D1E" w:rsidRPr="00943D1E" w:rsidRDefault="00943D1E" w:rsidP="00C37D18">
      <w:pPr>
        <w:pStyle w:val="generalparagraph"/>
      </w:pPr>
      <w:r w:rsidRPr="00943D1E">
        <w:t>MOHPs can contribute to goals to reduce ARF through integrating practices. ‘Primary Prevention’ is one of four intervention p</w:t>
      </w:r>
      <w:r w:rsidR="00C45513">
        <w:t>oints identified to reduce ARF.</w:t>
      </w:r>
      <w:r w:rsidRPr="00943D1E">
        <w:t xml:space="preserve"> This involves the early detection and treatment of GAS throat infections with antibiotics, and an increased awareness and education about rheumatic fever (NZGG, 2011).  </w:t>
      </w:r>
    </w:p>
    <w:p w:rsidR="00943D1E" w:rsidRPr="00943D1E" w:rsidRDefault="00943D1E" w:rsidP="00C37D18">
      <w:pPr>
        <w:pStyle w:val="generalparagraph"/>
      </w:pPr>
      <w:r w:rsidRPr="00943D1E">
        <w:t xml:space="preserve">MOHPs are well positioned to engage in primary prevention activities because of their co-location with primary health services (NMOHCS, 2012).  </w:t>
      </w:r>
      <w:r w:rsidR="005F49E6">
        <w:t>MOHPs</w:t>
      </w:r>
      <w:r w:rsidRPr="00943D1E">
        <w:t xml:space="preserve"> are in a position to identify and refer, or manage any sore throats among high risk populations. Integrated practices will ensure appropriate clinical and patient pathways to identify tamariki and rangatahi at risk of ARF, and those that have rheumatic fever.  </w:t>
      </w:r>
    </w:p>
    <w:p w:rsidR="0017504A" w:rsidRPr="00D80C21" w:rsidRDefault="0017504A" w:rsidP="00C37D18">
      <w:pPr>
        <w:pStyle w:val="generalparagraph"/>
      </w:pPr>
    </w:p>
    <w:p w:rsidR="007C40E1" w:rsidRDefault="007C40E1">
      <w:pPr>
        <w:rPr>
          <w:rFonts w:asciiTheme="minorHAnsi" w:eastAsia="Arial Unicode MS" w:hAnsiTheme="minorHAnsi" w:cstheme="minorHAnsi"/>
          <w:b/>
          <w:bCs/>
          <w:kern w:val="32"/>
          <w:sz w:val="28"/>
          <w:szCs w:val="28"/>
          <w:lang w:val="en-AU"/>
        </w:rPr>
      </w:pPr>
      <w:r>
        <w:br w:type="page"/>
      </w:r>
    </w:p>
    <w:p w:rsidR="0017504A" w:rsidRDefault="002D45D4" w:rsidP="00DA6437">
      <w:pPr>
        <w:pStyle w:val="generalsubheading"/>
      </w:pPr>
      <w:bookmarkStart w:id="22" w:name="_Toc473485924"/>
      <w:r w:rsidRPr="005F0AA6">
        <w:lastRenderedPageBreak/>
        <w:t>I</w:t>
      </w:r>
      <w:r w:rsidR="006C18DA">
        <w:t>NTEGRATED PRACTICES</w:t>
      </w:r>
      <w:bookmarkEnd w:id="22"/>
    </w:p>
    <w:p w:rsidR="002B05D2" w:rsidRPr="005C3C2C" w:rsidRDefault="002B05D2" w:rsidP="005C3C2C"/>
    <w:tbl>
      <w:tblPr>
        <w:tblW w:w="0" w:type="auto"/>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ook w:val="04A0" w:firstRow="1" w:lastRow="0" w:firstColumn="1" w:lastColumn="0" w:noHBand="0" w:noVBand="1"/>
      </w:tblPr>
      <w:tblGrid>
        <w:gridCol w:w="9039"/>
      </w:tblGrid>
      <w:tr w:rsidR="002B05D2" w:rsidRPr="005F0AA6" w:rsidTr="0003585F">
        <w:trPr>
          <w:trHeight w:val="414"/>
        </w:trPr>
        <w:tc>
          <w:tcPr>
            <w:tcW w:w="9039" w:type="dxa"/>
            <w:tcBorders>
              <w:top w:val="single" w:sz="4" w:space="0" w:color="42D0B8"/>
              <w:left w:val="single" w:sz="4" w:space="0" w:color="42D0B8"/>
              <w:bottom w:val="single" w:sz="4" w:space="0" w:color="42D0B8"/>
              <w:right w:val="single" w:sz="4" w:space="0" w:color="42D0B8"/>
            </w:tcBorders>
            <w:shd w:val="clear" w:color="auto" w:fill="42D0B8"/>
          </w:tcPr>
          <w:p w:rsidR="002B05D2" w:rsidRPr="00E65FE2" w:rsidRDefault="002B05D2" w:rsidP="00D57B50">
            <w:pPr>
              <w:spacing w:before="120" w:after="120"/>
              <w:jc w:val="both"/>
              <w:rPr>
                <w:rFonts w:asciiTheme="minorHAnsi" w:eastAsia="Arial Unicode MS" w:hAnsiTheme="minorHAnsi" w:cstheme="minorHAnsi"/>
                <w:b/>
                <w:color w:val="FFFFFF" w:themeColor="background1"/>
                <w:sz w:val="22"/>
                <w:szCs w:val="22"/>
              </w:rPr>
            </w:pPr>
            <w:r w:rsidRPr="00E65FE2">
              <w:rPr>
                <w:rFonts w:asciiTheme="minorHAnsi" w:eastAsia="Arial Unicode MS" w:hAnsiTheme="minorHAnsi" w:cstheme="minorHAnsi"/>
                <w:b/>
                <w:color w:val="FFFFFF" w:themeColor="background1"/>
                <w:sz w:val="22"/>
                <w:szCs w:val="22"/>
              </w:rPr>
              <w:t>KEY POINTS</w:t>
            </w:r>
          </w:p>
        </w:tc>
      </w:tr>
      <w:tr w:rsidR="008D1C12" w:rsidRPr="005F0AA6" w:rsidTr="0003585F">
        <w:trPr>
          <w:trHeight w:val="3225"/>
        </w:trPr>
        <w:tc>
          <w:tcPr>
            <w:tcW w:w="9039" w:type="dxa"/>
            <w:tcBorders>
              <w:top w:val="single" w:sz="4" w:space="0" w:color="42D0B8"/>
              <w:left w:val="single" w:sz="4" w:space="0" w:color="42D0B8"/>
              <w:bottom w:val="single" w:sz="4" w:space="0" w:color="42D0B8"/>
              <w:right w:val="single" w:sz="4" w:space="0" w:color="42D0B8"/>
            </w:tcBorders>
            <w:shd w:val="clear" w:color="auto" w:fill="auto"/>
          </w:tcPr>
          <w:p w:rsidR="00943D1E" w:rsidRPr="00054E60" w:rsidRDefault="00943D1E" w:rsidP="0003585F">
            <w:pPr>
              <w:pStyle w:val="ListParagraph"/>
              <w:numPr>
                <w:ilvl w:val="0"/>
                <w:numId w:val="26"/>
              </w:numPr>
              <w:spacing w:before="60" w:after="0" w:line="240" w:lineRule="auto"/>
              <w:ind w:left="426" w:hanging="284"/>
              <w:contextualSpacing w:val="0"/>
              <w:jc w:val="both"/>
              <w:rPr>
                <w:rFonts w:asciiTheme="minorHAnsi" w:eastAsia="Arial Unicode MS" w:hAnsiTheme="minorHAnsi" w:cstheme="minorHAnsi"/>
              </w:rPr>
            </w:pPr>
            <w:r w:rsidRPr="00054E60">
              <w:rPr>
                <w:rFonts w:asciiTheme="minorHAnsi" w:eastAsia="Arial Unicode MS" w:hAnsiTheme="minorHAnsi" w:cstheme="minorHAnsi"/>
              </w:rPr>
              <w:t xml:space="preserve">Rheumatic fever is almost exclusively a disease affecting Māori and Pacific people </w:t>
            </w:r>
          </w:p>
          <w:p w:rsidR="00943D1E" w:rsidRPr="00054E60" w:rsidRDefault="00943D1E" w:rsidP="0003585F">
            <w:pPr>
              <w:pStyle w:val="ListParagraph"/>
              <w:numPr>
                <w:ilvl w:val="0"/>
                <w:numId w:val="26"/>
              </w:numPr>
              <w:spacing w:before="60" w:after="0" w:line="240" w:lineRule="auto"/>
              <w:ind w:left="426" w:hanging="284"/>
              <w:contextualSpacing w:val="0"/>
              <w:jc w:val="both"/>
              <w:rPr>
                <w:rFonts w:asciiTheme="minorHAnsi" w:eastAsia="Arial Unicode MS" w:hAnsiTheme="minorHAnsi" w:cstheme="minorHAnsi"/>
              </w:rPr>
            </w:pPr>
            <w:r w:rsidRPr="00054E60">
              <w:rPr>
                <w:rFonts w:asciiTheme="minorHAnsi" w:eastAsia="Arial Unicode MS" w:hAnsiTheme="minorHAnsi" w:cstheme="minorHAnsi"/>
              </w:rPr>
              <w:t xml:space="preserve">Children aged </w:t>
            </w:r>
            <w:r w:rsidR="00F31C17">
              <w:rPr>
                <w:rFonts w:asciiTheme="minorHAnsi" w:eastAsia="Arial Unicode MS" w:hAnsiTheme="minorHAnsi" w:cstheme="minorHAnsi"/>
              </w:rPr>
              <w:t>4–19</w:t>
            </w:r>
            <w:r w:rsidRPr="00054E60">
              <w:rPr>
                <w:rFonts w:asciiTheme="minorHAnsi" w:eastAsia="Arial Unicode MS" w:hAnsiTheme="minorHAnsi" w:cstheme="minorHAnsi"/>
              </w:rPr>
              <w:t xml:space="preserve"> years are most at risk</w:t>
            </w:r>
          </w:p>
          <w:p w:rsidR="00943D1E" w:rsidRPr="00054E60" w:rsidRDefault="00943D1E" w:rsidP="0003585F">
            <w:pPr>
              <w:pStyle w:val="ListParagraph"/>
              <w:numPr>
                <w:ilvl w:val="0"/>
                <w:numId w:val="26"/>
              </w:numPr>
              <w:spacing w:before="60" w:after="0" w:line="240" w:lineRule="auto"/>
              <w:ind w:left="426" w:hanging="284"/>
              <w:contextualSpacing w:val="0"/>
              <w:jc w:val="both"/>
              <w:rPr>
                <w:rFonts w:asciiTheme="minorHAnsi" w:eastAsia="Arial Unicode MS" w:hAnsiTheme="minorHAnsi" w:cstheme="minorHAnsi"/>
              </w:rPr>
            </w:pPr>
            <w:r>
              <w:rPr>
                <w:rFonts w:asciiTheme="minorHAnsi" w:eastAsia="Arial Unicode MS" w:hAnsiTheme="minorHAnsi" w:cstheme="minorHAnsi"/>
              </w:rPr>
              <w:t>It is important to identify and treat strep throats in order to prevent ARF</w:t>
            </w:r>
          </w:p>
          <w:p w:rsidR="00943D1E" w:rsidRDefault="00943D1E" w:rsidP="0003585F">
            <w:pPr>
              <w:pStyle w:val="ListParagraph"/>
              <w:numPr>
                <w:ilvl w:val="0"/>
                <w:numId w:val="26"/>
              </w:numPr>
              <w:spacing w:before="60" w:after="0" w:line="240" w:lineRule="auto"/>
              <w:ind w:left="426" w:hanging="284"/>
              <w:contextualSpacing w:val="0"/>
              <w:jc w:val="both"/>
              <w:rPr>
                <w:rFonts w:asciiTheme="minorHAnsi" w:eastAsia="Arial Unicode MS" w:hAnsiTheme="minorHAnsi" w:cstheme="minorHAnsi"/>
              </w:rPr>
            </w:pPr>
            <w:r w:rsidRPr="00054E60">
              <w:rPr>
                <w:rFonts w:asciiTheme="minorHAnsi" w:eastAsia="Arial Unicode MS" w:hAnsiTheme="minorHAnsi" w:cstheme="minorHAnsi"/>
              </w:rPr>
              <w:t>The Rheumatic Fever Prevention Programme is located in Porirua, Northland, Hawke</w:t>
            </w:r>
            <w:r w:rsidR="005F49E6">
              <w:rPr>
                <w:rFonts w:asciiTheme="minorHAnsi" w:eastAsia="Arial Unicode MS" w:hAnsiTheme="minorHAnsi" w:cstheme="minorHAnsi"/>
              </w:rPr>
              <w:t>’</w:t>
            </w:r>
            <w:r w:rsidRPr="00054E60">
              <w:rPr>
                <w:rFonts w:asciiTheme="minorHAnsi" w:eastAsia="Arial Unicode MS" w:hAnsiTheme="minorHAnsi" w:cstheme="minorHAnsi"/>
              </w:rPr>
              <w:t xml:space="preserve">s Bay, Bay of Plenty, Lakes District, Tairawhiti, </w:t>
            </w:r>
            <w:r>
              <w:rPr>
                <w:rFonts w:asciiTheme="minorHAnsi" w:eastAsia="Arial Unicode MS" w:hAnsiTheme="minorHAnsi" w:cstheme="minorHAnsi"/>
              </w:rPr>
              <w:t>Waikato and the Auckland area</w:t>
            </w:r>
            <w:r w:rsidRPr="00054E60">
              <w:rPr>
                <w:rFonts w:asciiTheme="minorHAnsi" w:eastAsia="Arial Unicode MS" w:hAnsiTheme="minorHAnsi" w:cstheme="minorHAnsi"/>
              </w:rPr>
              <w:t>, and may be a useful source of information for oral health practitioners and wh</w:t>
            </w:r>
            <w:r w:rsidR="005F49E6">
              <w:rPr>
                <w:rFonts w:asciiTheme="minorHAnsi" w:eastAsia="Arial Unicode MS" w:hAnsiTheme="minorHAnsi" w:cstheme="minorHAnsi"/>
              </w:rPr>
              <w:t>ā</w:t>
            </w:r>
            <w:r w:rsidRPr="00054E60">
              <w:rPr>
                <w:rFonts w:asciiTheme="minorHAnsi" w:eastAsia="Arial Unicode MS" w:hAnsiTheme="minorHAnsi" w:cstheme="minorHAnsi"/>
              </w:rPr>
              <w:t xml:space="preserve">nau </w:t>
            </w:r>
          </w:p>
          <w:p w:rsidR="00943D1E" w:rsidRDefault="00943D1E" w:rsidP="0003585F">
            <w:pPr>
              <w:pStyle w:val="ListParagraph"/>
              <w:numPr>
                <w:ilvl w:val="0"/>
                <w:numId w:val="26"/>
              </w:numPr>
              <w:spacing w:before="60" w:after="0" w:line="240" w:lineRule="auto"/>
              <w:ind w:left="426" w:hanging="284"/>
              <w:contextualSpacing w:val="0"/>
              <w:jc w:val="both"/>
              <w:rPr>
                <w:rFonts w:asciiTheme="minorHAnsi" w:eastAsia="Arial Unicode MS" w:hAnsiTheme="minorHAnsi" w:cstheme="minorHAnsi"/>
              </w:rPr>
            </w:pPr>
            <w:r w:rsidRPr="00054E60">
              <w:rPr>
                <w:rFonts w:asciiTheme="minorHAnsi" w:eastAsia="Arial Unicode MS" w:hAnsiTheme="minorHAnsi" w:cstheme="minorHAnsi"/>
              </w:rPr>
              <w:t>Take responsibility for helping the child, not just treating the complaint in your particular field of expertise</w:t>
            </w:r>
          </w:p>
          <w:p w:rsidR="000F296F" w:rsidRPr="00943D1E" w:rsidRDefault="00943D1E" w:rsidP="0003585F">
            <w:pPr>
              <w:pStyle w:val="ListParagraph"/>
              <w:numPr>
                <w:ilvl w:val="0"/>
                <w:numId w:val="26"/>
              </w:numPr>
              <w:spacing w:before="60" w:after="0" w:line="240" w:lineRule="auto"/>
              <w:ind w:left="426" w:hanging="284"/>
              <w:contextualSpacing w:val="0"/>
              <w:jc w:val="both"/>
              <w:rPr>
                <w:rFonts w:asciiTheme="minorHAnsi" w:eastAsia="Arial Unicode MS" w:hAnsiTheme="minorHAnsi" w:cstheme="minorHAnsi"/>
              </w:rPr>
            </w:pPr>
            <w:r w:rsidRPr="00054E60">
              <w:rPr>
                <w:rFonts w:asciiTheme="minorHAnsi" w:eastAsia="Arial Unicode MS" w:hAnsiTheme="minorHAnsi" w:cstheme="minorHAnsi"/>
              </w:rPr>
              <w:t>General and oral health practitioners need to be able to identify and meet the needs of vulnerable children</w:t>
            </w:r>
          </w:p>
        </w:tc>
      </w:tr>
      <w:tr w:rsidR="002B05D2" w:rsidRPr="005F0AA6" w:rsidTr="0003585F">
        <w:trPr>
          <w:trHeight w:val="414"/>
        </w:trPr>
        <w:tc>
          <w:tcPr>
            <w:tcW w:w="9039" w:type="dxa"/>
            <w:tcBorders>
              <w:top w:val="single" w:sz="4" w:space="0" w:color="42D0B8"/>
              <w:left w:val="single" w:sz="4" w:space="0" w:color="42D0B8"/>
              <w:bottom w:val="single" w:sz="4" w:space="0" w:color="42D0B8"/>
              <w:right w:val="single" w:sz="4" w:space="0" w:color="42D0B8"/>
            </w:tcBorders>
            <w:shd w:val="clear" w:color="auto" w:fill="42D0B8"/>
          </w:tcPr>
          <w:p w:rsidR="002B05D2" w:rsidRPr="00E65FE2" w:rsidRDefault="002B05D2" w:rsidP="00D57B50">
            <w:pPr>
              <w:spacing w:before="120" w:after="120"/>
              <w:jc w:val="both"/>
              <w:rPr>
                <w:rFonts w:asciiTheme="minorHAnsi" w:eastAsia="Arial Unicode MS" w:hAnsiTheme="minorHAnsi" w:cstheme="minorHAnsi"/>
                <w:b/>
                <w:color w:val="FFFFFF" w:themeColor="background1"/>
                <w:sz w:val="22"/>
                <w:szCs w:val="22"/>
              </w:rPr>
            </w:pPr>
            <w:r>
              <w:rPr>
                <w:rFonts w:asciiTheme="minorHAnsi" w:eastAsia="Arial Unicode MS" w:hAnsiTheme="minorHAnsi" w:cstheme="minorHAnsi"/>
                <w:b/>
                <w:color w:val="FFFFFF" w:themeColor="background1"/>
                <w:sz w:val="22"/>
                <w:szCs w:val="22"/>
              </w:rPr>
              <w:t>RECOMMENDATIONS</w:t>
            </w:r>
          </w:p>
        </w:tc>
      </w:tr>
      <w:tr w:rsidR="002D3B17" w:rsidRPr="002B05D2" w:rsidTr="00D23449">
        <w:trPr>
          <w:trHeight w:val="3023"/>
        </w:trPr>
        <w:tc>
          <w:tcPr>
            <w:tcW w:w="9039" w:type="dxa"/>
            <w:tcBorders>
              <w:top w:val="single" w:sz="4" w:space="0" w:color="42D0B8"/>
              <w:left w:val="single" w:sz="4" w:space="0" w:color="42D0B8"/>
              <w:bottom w:val="single" w:sz="4" w:space="0" w:color="4BACC6" w:themeColor="accent5"/>
              <w:right w:val="single" w:sz="4" w:space="0" w:color="42D0B8"/>
            </w:tcBorders>
            <w:shd w:val="clear" w:color="auto" w:fill="auto"/>
          </w:tcPr>
          <w:p w:rsidR="0003585F" w:rsidRPr="002B05D2" w:rsidRDefault="00FE2839" w:rsidP="00B67900">
            <w:pPr>
              <w:spacing w:before="120" w:line="360" w:lineRule="auto"/>
              <w:jc w:val="both"/>
              <w:rPr>
                <w:rFonts w:asciiTheme="minorHAnsi" w:eastAsia="Arial Unicode MS" w:hAnsiTheme="minorHAnsi" w:cstheme="minorHAnsi"/>
                <w:b/>
                <w:sz w:val="22"/>
                <w:szCs w:val="22"/>
              </w:rPr>
            </w:pPr>
            <w:r>
              <w:rPr>
                <w:rFonts w:asciiTheme="minorHAnsi" w:eastAsia="Arial Unicode MS" w:hAnsiTheme="minorHAnsi" w:cstheme="minorHAnsi"/>
                <w:b/>
                <w:sz w:val="22"/>
                <w:szCs w:val="22"/>
              </w:rPr>
              <w:t>KNOWLEDGE</w:t>
            </w:r>
          </w:p>
          <w:p w:rsidR="00FE2839" w:rsidRDefault="00FE2839" w:rsidP="00FE2839">
            <w:pPr>
              <w:pStyle w:val="ListParagraph"/>
              <w:numPr>
                <w:ilvl w:val="0"/>
                <w:numId w:val="26"/>
              </w:numPr>
              <w:spacing w:before="60" w:after="0" w:line="240" w:lineRule="auto"/>
              <w:ind w:left="426" w:hanging="284"/>
              <w:contextualSpacing w:val="0"/>
              <w:jc w:val="both"/>
              <w:rPr>
                <w:rFonts w:asciiTheme="minorHAnsi" w:eastAsia="Arial Unicode MS" w:hAnsiTheme="minorHAnsi" w:cstheme="minorHAnsi"/>
              </w:rPr>
            </w:pPr>
            <w:r>
              <w:rPr>
                <w:rFonts w:asciiTheme="minorHAnsi" w:eastAsia="Arial Unicode MS" w:hAnsiTheme="minorHAnsi" w:cstheme="minorHAnsi"/>
              </w:rPr>
              <w:t xml:space="preserve">Patient </w:t>
            </w:r>
            <w:r w:rsidRPr="00E65FE2">
              <w:rPr>
                <w:rFonts w:asciiTheme="minorHAnsi" w:eastAsia="Arial Unicode MS" w:hAnsiTheme="minorHAnsi" w:cstheme="minorHAnsi"/>
              </w:rPr>
              <w:t>information is available at every point of care  to ensure clinicians (Dentist, Dental T</w:t>
            </w:r>
            <w:r>
              <w:rPr>
                <w:rFonts w:asciiTheme="minorHAnsi" w:eastAsia="Arial Unicode MS" w:hAnsiTheme="minorHAnsi" w:cstheme="minorHAnsi"/>
              </w:rPr>
              <w:t>herapists, appropriate primary health care practitioner</w:t>
            </w:r>
            <w:r w:rsidRPr="00E65FE2">
              <w:rPr>
                <w:rFonts w:asciiTheme="minorHAnsi" w:eastAsia="Arial Unicode MS" w:hAnsiTheme="minorHAnsi" w:cstheme="minorHAnsi"/>
              </w:rPr>
              <w:t>) are informed about patient health status (B)</w:t>
            </w:r>
          </w:p>
          <w:p w:rsidR="00FE2839" w:rsidRDefault="00FE2839" w:rsidP="00FE2839">
            <w:pPr>
              <w:pStyle w:val="ListParagraph"/>
              <w:numPr>
                <w:ilvl w:val="0"/>
                <w:numId w:val="26"/>
              </w:numPr>
              <w:spacing w:before="60" w:after="0" w:line="240" w:lineRule="auto"/>
              <w:ind w:left="426" w:hanging="284"/>
              <w:contextualSpacing w:val="0"/>
              <w:jc w:val="both"/>
              <w:rPr>
                <w:rFonts w:asciiTheme="minorHAnsi" w:eastAsia="Arial Unicode MS" w:hAnsiTheme="minorHAnsi" w:cstheme="minorHAnsi"/>
              </w:rPr>
            </w:pPr>
            <w:r>
              <w:rPr>
                <w:rFonts w:asciiTheme="minorHAnsi" w:eastAsia="Arial Unicode MS" w:hAnsiTheme="minorHAnsi" w:cstheme="minorHAnsi"/>
              </w:rPr>
              <w:t xml:space="preserve">All </w:t>
            </w:r>
            <w:r w:rsidRPr="002B05D2">
              <w:rPr>
                <w:rFonts w:asciiTheme="minorHAnsi" w:eastAsia="Arial Unicode MS" w:hAnsiTheme="minorHAnsi" w:cstheme="minorHAnsi"/>
              </w:rPr>
              <w:t>Māori oral health provider staff should undertake health and education training to recognise and respond appropriately to the signs, symptoms, treatment, and prevention of GAS throat infections and ARF (A)</w:t>
            </w:r>
          </w:p>
          <w:p w:rsidR="002D3B17" w:rsidRPr="005C3C2C" w:rsidRDefault="00FE2839" w:rsidP="00FE2839">
            <w:pPr>
              <w:pStyle w:val="ListParagraph"/>
              <w:numPr>
                <w:ilvl w:val="0"/>
                <w:numId w:val="26"/>
              </w:numPr>
              <w:spacing w:before="60" w:after="0" w:line="240" w:lineRule="auto"/>
              <w:ind w:left="426" w:hanging="284"/>
              <w:contextualSpacing w:val="0"/>
              <w:jc w:val="both"/>
              <w:rPr>
                <w:rFonts w:asciiTheme="minorHAnsi" w:eastAsia="Arial Unicode MS" w:hAnsiTheme="minorHAnsi" w:cstheme="minorHAnsi"/>
              </w:rPr>
            </w:pPr>
            <w:r>
              <w:rPr>
                <w:rFonts w:asciiTheme="minorHAnsi" w:eastAsia="Arial Unicode MS" w:hAnsiTheme="minorHAnsi" w:cstheme="minorHAnsi"/>
              </w:rPr>
              <w:t>MOHP can raise awareness of rheumatic fever and of the importance of getting sore throats checked through posters and DVDs</w:t>
            </w:r>
          </w:p>
        </w:tc>
      </w:tr>
      <w:tr w:rsidR="00FE2839" w:rsidRPr="002B05D2" w:rsidTr="00227E31">
        <w:trPr>
          <w:trHeight w:val="983"/>
        </w:trPr>
        <w:tc>
          <w:tcPr>
            <w:tcW w:w="9039" w:type="dxa"/>
            <w:tcBorders>
              <w:top w:val="single" w:sz="4" w:space="0" w:color="42D0B8"/>
              <w:left w:val="single" w:sz="4" w:space="0" w:color="42D0B8"/>
              <w:bottom w:val="single" w:sz="4" w:space="0" w:color="4BACC6" w:themeColor="accent5"/>
              <w:right w:val="single" w:sz="4" w:space="0" w:color="42D0B8"/>
            </w:tcBorders>
            <w:shd w:val="clear" w:color="auto" w:fill="auto"/>
          </w:tcPr>
          <w:p w:rsidR="00D23449" w:rsidRPr="002B05D2" w:rsidRDefault="00D23449" w:rsidP="00D23449">
            <w:pPr>
              <w:spacing w:before="120" w:line="360" w:lineRule="auto"/>
              <w:jc w:val="both"/>
              <w:rPr>
                <w:rFonts w:asciiTheme="minorHAnsi" w:eastAsia="Arial Unicode MS" w:hAnsiTheme="minorHAnsi" w:cstheme="minorHAnsi"/>
                <w:b/>
                <w:sz w:val="22"/>
                <w:szCs w:val="22"/>
              </w:rPr>
            </w:pPr>
            <w:r>
              <w:rPr>
                <w:rFonts w:asciiTheme="minorHAnsi" w:eastAsia="Arial Unicode MS" w:hAnsiTheme="minorHAnsi" w:cstheme="minorHAnsi"/>
                <w:b/>
                <w:sz w:val="22"/>
                <w:szCs w:val="22"/>
              </w:rPr>
              <w:t>SYSTEMS</w:t>
            </w:r>
          </w:p>
          <w:p w:rsidR="00D23449" w:rsidRPr="005211B2" w:rsidRDefault="00D23449" w:rsidP="00D23449">
            <w:pPr>
              <w:pStyle w:val="ListParagraph"/>
              <w:numPr>
                <w:ilvl w:val="0"/>
                <w:numId w:val="26"/>
              </w:numPr>
              <w:spacing w:after="0" w:line="240" w:lineRule="auto"/>
              <w:ind w:left="426" w:hanging="284"/>
              <w:contextualSpacing w:val="0"/>
              <w:jc w:val="both"/>
              <w:rPr>
                <w:rFonts w:asciiTheme="minorHAnsi" w:eastAsia="Arial Unicode MS" w:hAnsiTheme="minorHAnsi" w:cstheme="minorHAnsi"/>
              </w:rPr>
            </w:pPr>
            <w:r w:rsidRPr="00E65FE2">
              <w:rPr>
                <w:rFonts w:asciiTheme="minorHAnsi" w:eastAsia="Arial Unicode MS" w:hAnsiTheme="minorHAnsi" w:cstheme="minorHAnsi"/>
              </w:rPr>
              <w:t>MOHP and Primary Care Practices</w:t>
            </w:r>
            <w:r>
              <w:rPr>
                <w:rFonts w:asciiTheme="minorHAnsi" w:eastAsia="Arial Unicode MS" w:hAnsiTheme="minorHAnsi" w:cstheme="minorHAnsi"/>
              </w:rPr>
              <w:t xml:space="preserve"> have</w:t>
            </w:r>
            <w:r w:rsidRPr="00E65FE2">
              <w:rPr>
                <w:rFonts w:asciiTheme="minorHAnsi" w:eastAsia="Arial Unicode MS" w:hAnsiTheme="minorHAnsi" w:cstheme="minorHAnsi"/>
              </w:rPr>
              <w:t xml:space="preserve"> information system</w:t>
            </w:r>
            <w:r>
              <w:rPr>
                <w:rFonts w:asciiTheme="minorHAnsi" w:eastAsia="Arial Unicode MS" w:hAnsiTheme="minorHAnsi" w:cstheme="minorHAnsi"/>
              </w:rPr>
              <w:t>s</w:t>
            </w:r>
            <w:r w:rsidRPr="00E65FE2">
              <w:rPr>
                <w:rFonts w:asciiTheme="minorHAnsi" w:eastAsia="Arial Unicode MS" w:hAnsiTheme="minorHAnsi" w:cstheme="minorHAnsi"/>
              </w:rPr>
              <w:t xml:space="preserve"> that enable the exchange</w:t>
            </w:r>
            <w:r>
              <w:rPr>
                <w:rFonts w:asciiTheme="minorHAnsi" w:eastAsia="Arial Unicode MS" w:hAnsiTheme="minorHAnsi" w:cstheme="minorHAnsi"/>
              </w:rPr>
              <w:t xml:space="preserve"> of, </w:t>
            </w:r>
            <w:r w:rsidRPr="00E65FE2">
              <w:rPr>
                <w:rFonts w:asciiTheme="minorHAnsi" w:eastAsia="Arial Unicode MS" w:hAnsiTheme="minorHAnsi" w:cstheme="minorHAnsi"/>
              </w:rPr>
              <w:t>and access to</w:t>
            </w:r>
            <w:r>
              <w:rPr>
                <w:rFonts w:asciiTheme="minorHAnsi" w:eastAsia="Arial Unicode MS" w:hAnsiTheme="minorHAnsi" w:cstheme="minorHAnsi"/>
              </w:rPr>
              <w:t>,</w:t>
            </w:r>
            <w:r w:rsidRPr="00E65FE2">
              <w:rPr>
                <w:rFonts w:asciiTheme="minorHAnsi" w:eastAsia="Arial Unicode MS" w:hAnsiTheme="minorHAnsi" w:cstheme="minorHAnsi"/>
              </w:rPr>
              <w:t xml:space="preserve"> pat</w:t>
            </w:r>
            <w:r>
              <w:rPr>
                <w:rFonts w:asciiTheme="minorHAnsi" w:eastAsia="Arial Unicode MS" w:hAnsiTheme="minorHAnsi" w:cstheme="minorHAnsi"/>
              </w:rPr>
              <w:t xml:space="preserve">ient information </w:t>
            </w:r>
            <w:r w:rsidRPr="00E65FE2">
              <w:rPr>
                <w:rFonts w:asciiTheme="minorHAnsi" w:eastAsia="Arial Unicode MS" w:hAnsiTheme="minorHAnsi" w:cstheme="minorHAnsi"/>
              </w:rPr>
              <w:t>to inform patient care decisions and pathways (B)</w:t>
            </w:r>
          </w:p>
          <w:p w:rsidR="00D23449" w:rsidRPr="0003585F" w:rsidRDefault="00A37B13" w:rsidP="00D23449">
            <w:pPr>
              <w:spacing w:before="120" w:after="120"/>
              <w:jc w:val="both"/>
              <w:rPr>
                <w:rFonts w:asciiTheme="minorHAnsi" w:eastAsia="Arial Unicode MS" w:hAnsiTheme="minorHAnsi" w:cstheme="minorHAnsi"/>
                <w:b/>
                <w:sz w:val="22"/>
              </w:rPr>
            </w:pPr>
            <w:r>
              <w:rPr>
                <w:rFonts w:asciiTheme="minorHAnsi" w:eastAsia="Arial Unicode MS" w:hAnsiTheme="minorHAnsi" w:cstheme="minorHAnsi"/>
                <w:b/>
                <w:sz w:val="22"/>
              </w:rPr>
              <w:t xml:space="preserve">Oral health </w:t>
            </w:r>
            <w:r w:rsidRPr="00C45513">
              <w:rPr>
                <w:rFonts w:asciiTheme="minorHAnsi" w:eastAsia="Arial Unicode MS" w:hAnsiTheme="minorHAnsi" w:cstheme="minorHAnsi"/>
                <w:b/>
                <w:sz w:val="22"/>
              </w:rPr>
              <w:t>practitioners must</w:t>
            </w:r>
            <w:r w:rsidR="00D23449" w:rsidRPr="00C45513">
              <w:rPr>
                <w:rFonts w:asciiTheme="minorHAnsi" w:eastAsia="Arial Unicode MS" w:hAnsiTheme="minorHAnsi" w:cstheme="minorHAnsi"/>
                <w:b/>
                <w:sz w:val="22"/>
              </w:rPr>
              <w:t>:</w:t>
            </w:r>
          </w:p>
          <w:p w:rsidR="00D23449" w:rsidRPr="0003585F" w:rsidRDefault="00A37B13" w:rsidP="00D23449">
            <w:pPr>
              <w:pStyle w:val="ListParagraph"/>
              <w:numPr>
                <w:ilvl w:val="0"/>
                <w:numId w:val="26"/>
              </w:numPr>
              <w:spacing w:before="60" w:after="0" w:line="240" w:lineRule="auto"/>
              <w:ind w:left="426" w:hanging="284"/>
              <w:contextualSpacing w:val="0"/>
              <w:jc w:val="both"/>
              <w:rPr>
                <w:rFonts w:asciiTheme="minorHAnsi" w:eastAsia="Arial Unicode MS" w:hAnsiTheme="minorHAnsi" w:cstheme="minorHAnsi"/>
              </w:rPr>
            </w:pPr>
            <w:r>
              <w:rPr>
                <w:rFonts w:asciiTheme="minorHAnsi" w:eastAsia="Arial Unicode MS" w:hAnsiTheme="minorHAnsi" w:cstheme="minorHAnsi"/>
              </w:rPr>
              <w:t>Ensure a</w:t>
            </w:r>
            <w:r w:rsidR="00D23449" w:rsidRPr="0003585F">
              <w:rPr>
                <w:rFonts w:asciiTheme="minorHAnsi" w:eastAsia="Arial Unicode MS" w:hAnsiTheme="minorHAnsi" w:cstheme="minorHAnsi"/>
              </w:rPr>
              <w:t xml:space="preserve">ppropriate systems </w:t>
            </w:r>
            <w:r>
              <w:rPr>
                <w:rFonts w:asciiTheme="minorHAnsi" w:eastAsia="Arial Unicode MS" w:hAnsiTheme="minorHAnsi" w:cstheme="minorHAnsi"/>
              </w:rPr>
              <w:t>are</w:t>
            </w:r>
            <w:r w:rsidR="00D23449" w:rsidRPr="0003585F">
              <w:rPr>
                <w:rFonts w:asciiTheme="minorHAnsi" w:eastAsia="Arial Unicode MS" w:hAnsiTheme="minorHAnsi" w:cstheme="minorHAnsi"/>
              </w:rPr>
              <w:t xml:space="preserve"> in place (which is in line with local practices) to manage sore throats presenting to</w:t>
            </w:r>
            <w:r>
              <w:rPr>
                <w:rFonts w:asciiTheme="minorHAnsi" w:eastAsia="Arial Unicode MS" w:hAnsiTheme="minorHAnsi" w:cstheme="minorHAnsi"/>
              </w:rPr>
              <w:t xml:space="preserve"> MOHP for the prevention of ARF (B)</w:t>
            </w:r>
            <w:r w:rsidR="00D23449" w:rsidRPr="0003585F">
              <w:rPr>
                <w:rFonts w:asciiTheme="minorHAnsi" w:eastAsia="Arial Unicode MS" w:hAnsiTheme="minorHAnsi" w:cstheme="minorHAnsi"/>
              </w:rPr>
              <w:t xml:space="preserve"> </w:t>
            </w:r>
          </w:p>
          <w:p w:rsidR="00D23449" w:rsidRPr="002B05D2" w:rsidRDefault="00D23449" w:rsidP="00D23449">
            <w:pPr>
              <w:pStyle w:val="ListParagraph"/>
              <w:numPr>
                <w:ilvl w:val="0"/>
                <w:numId w:val="26"/>
              </w:numPr>
              <w:spacing w:before="60" w:after="0" w:line="240" w:lineRule="auto"/>
              <w:ind w:left="426" w:hanging="284"/>
              <w:contextualSpacing w:val="0"/>
              <w:jc w:val="both"/>
              <w:rPr>
                <w:rFonts w:asciiTheme="minorHAnsi" w:eastAsia="Arial Unicode MS" w:hAnsiTheme="minorHAnsi" w:cstheme="minorHAnsi"/>
              </w:rPr>
            </w:pPr>
            <w:r w:rsidRPr="002B05D2">
              <w:rPr>
                <w:rFonts w:asciiTheme="minorHAnsi" w:eastAsia="Arial Unicode MS" w:hAnsiTheme="minorHAnsi" w:cstheme="minorHAnsi"/>
              </w:rPr>
              <w:t>Ask the patient or caregiver/parent about</w:t>
            </w:r>
            <w:r>
              <w:rPr>
                <w:rFonts w:asciiTheme="minorHAnsi" w:eastAsia="Arial Unicode MS" w:hAnsiTheme="minorHAnsi" w:cstheme="minorHAnsi"/>
              </w:rPr>
              <w:t xml:space="preserve"> current sore throats</w:t>
            </w:r>
            <w:r w:rsidRPr="002B05D2">
              <w:rPr>
                <w:rFonts w:asciiTheme="minorHAnsi" w:eastAsia="Arial Unicode MS" w:hAnsiTheme="minorHAnsi" w:cstheme="minorHAnsi"/>
              </w:rPr>
              <w:t xml:space="preserve"> (A)</w:t>
            </w:r>
          </w:p>
          <w:p w:rsidR="00D23449" w:rsidRPr="0003585F" w:rsidRDefault="00A37B13" w:rsidP="00D23449">
            <w:pPr>
              <w:pStyle w:val="ListParagraph"/>
              <w:numPr>
                <w:ilvl w:val="0"/>
                <w:numId w:val="26"/>
              </w:numPr>
              <w:spacing w:before="60" w:after="0" w:line="240" w:lineRule="auto"/>
              <w:ind w:left="426" w:hanging="284"/>
              <w:contextualSpacing w:val="0"/>
              <w:jc w:val="both"/>
              <w:rPr>
                <w:rFonts w:asciiTheme="minorHAnsi" w:eastAsia="Arial Unicode MS" w:hAnsiTheme="minorHAnsi" w:cstheme="minorHAnsi"/>
              </w:rPr>
            </w:pPr>
            <w:r w:rsidRPr="00C45513">
              <w:rPr>
                <w:rFonts w:asciiTheme="minorHAnsi" w:eastAsia="Arial Unicode MS" w:hAnsiTheme="minorHAnsi" w:cstheme="minorHAnsi"/>
              </w:rPr>
              <w:t>Quickly assess and manage a</w:t>
            </w:r>
            <w:r w:rsidR="00305149" w:rsidRPr="00C45513">
              <w:rPr>
                <w:rFonts w:asciiTheme="minorHAnsi" w:eastAsia="Arial Unicode MS" w:hAnsiTheme="minorHAnsi" w:cstheme="minorHAnsi"/>
              </w:rPr>
              <w:t>ll patients</w:t>
            </w:r>
            <w:r w:rsidR="00305149">
              <w:rPr>
                <w:rFonts w:asciiTheme="minorHAnsi" w:eastAsia="Arial Unicode MS" w:hAnsiTheme="minorHAnsi" w:cstheme="minorHAnsi"/>
              </w:rPr>
              <w:t xml:space="preserve"> aged 4–19</w:t>
            </w:r>
            <w:r w:rsidR="00D23449" w:rsidRPr="0003585F">
              <w:rPr>
                <w:rFonts w:asciiTheme="minorHAnsi" w:eastAsia="Arial Unicode MS" w:hAnsiTheme="minorHAnsi" w:cstheme="minorHAnsi"/>
              </w:rPr>
              <w:t xml:space="preserve"> years with a sore throat as outlined in the Sore Throat Management Gui</w:t>
            </w:r>
            <w:r>
              <w:rPr>
                <w:rFonts w:asciiTheme="minorHAnsi" w:eastAsia="Arial Unicode MS" w:hAnsiTheme="minorHAnsi" w:cstheme="minorHAnsi"/>
              </w:rPr>
              <w:t>delines (A)</w:t>
            </w:r>
            <w:r w:rsidR="00D23449" w:rsidRPr="0003585F">
              <w:rPr>
                <w:rFonts w:asciiTheme="minorHAnsi" w:eastAsia="Arial Unicode MS" w:hAnsiTheme="minorHAnsi" w:cstheme="minorHAnsi"/>
              </w:rPr>
              <w:t xml:space="preserve"> by either </w:t>
            </w:r>
            <w:r w:rsidR="00227E31">
              <w:rPr>
                <w:rFonts w:asciiTheme="minorHAnsi" w:eastAsia="Arial Unicode MS" w:hAnsiTheme="minorHAnsi" w:cstheme="minorHAnsi"/>
              </w:rPr>
              <w:t xml:space="preserve">the oral health practitioner or </w:t>
            </w:r>
            <w:r w:rsidR="00D23449" w:rsidRPr="0003585F">
              <w:rPr>
                <w:rFonts w:asciiTheme="minorHAnsi" w:eastAsia="Arial Unicode MS" w:hAnsiTheme="minorHAnsi" w:cstheme="minorHAnsi"/>
              </w:rPr>
              <w:t>appropriate primary health care practitioner (B)</w:t>
            </w:r>
          </w:p>
          <w:p w:rsidR="00D23449" w:rsidRPr="00C45513" w:rsidRDefault="00A37B13" w:rsidP="00D23449">
            <w:pPr>
              <w:pStyle w:val="ListParagraph"/>
              <w:numPr>
                <w:ilvl w:val="0"/>
                <w:numId w:val="26"/>
              </w:numPr>
              <w:spacing w:before="60" w:after="0" w:line="240" w:lineRule="auto"/>
              <w:ind w:left="426" w:hanging="284"/>
              <w:contextualSpacing w:val="0"/>
              <w:jc w:val="both"/>
              <w:rPr>
                <w:rFonts w:asciiTheme="minorHAnsi" w:eastAsia="Arial Unicode MS" w:hAnsiTheme="minorHAnsi" w:cstheme="minorHAnsi"/>
              </w:rPr>
            </w:pPr>
            <w:r w:rsidRPr="00C45513">
              <w:rPr>
                <w:rFonts w:asciiTheme="minorHAnsi" w:eastAsia="Arial Unicode MS" w:hAnsiTheme="minorHAnsi" w:cstheme="minorHAnsi"/>
              </w:rPr>
              <w:t>Provide r</w:t>
            </w:r>
            <w:r w:rsidR="00D23449" w:rsidRPr="00C45513">
              <w:rPr>
                <w:rFonts w:asciiTheme="minorHAnsi" w:eastAsia="Arial Unicode MS" w:hAnsiTheme="minorHAnsi" w:cstheme="minorHAnsi"/>
              </w:rPr>
              <w:t>apid access to antibio</w:t>
            </w:r>
            <w:r w:rsidRPr="00C45513">
              <w:rPr>
                <w:rFonts w:asciiTheme="minorHAnsi" w:eastAsia="Arial Unicode MS" w:hAnsiTheme="minorHAnsi" w:cstheme="minorHAnsi"/>
              </w:rPr>
              <w:t>tics for strep throat (A). Taking into consideration the individual needs</w:t>
            </w:r>
            <w:r w:rsidR="00305149" w:rsidRPr="00C45513">
              <w:rPr>
                <w:rFonts w:asciiTheme="minorHAnsi" w:eastAsia="Arial Unicode MS" w:hAnsiTheme="minorHAnsi" w:cstheme="minorHAnsi"/>
              </w:rPr>
              <w:t xml:space="preserve"> and circumstances of the patient/wh</w:t>
            </w:r>
            <w:r w:rsidR="00E90687" w:rsidRPr="00C45513">
              <w:rPr>
                <w:rFonts w:asciiTheme="minorHAnsi" w:eastAsia="Arial Unicode MS" w:hAnsiTheme="minorHAnsi" w:cstheme="minorHAnsi"/>
              </w:rPr>
              <w:t>ā</w:t>
            </w:r>
            <w:r w:rsidR="00305149" w:rsidRPr="00C45513">
              <w:rPr>
                <w:rFonts w:asciiTheme="minorHAnsi" w:eastAsia="Arial Unicode MS" w:hAnsiTheme="minorHAnsi" w:cstheme="minorHAnsi"/>
              </w:rPr>
              <w:t xml:space="preserve">nau the dentist should either prescribe and dispense antibiotics, refer the patient to their GP, or a primary care nurse with standing orders (B) </w:t>
            </w:r>
          </w:p>
          <w:p w:rsidR="00D23449" w:rsidRPr="00C45513" w:rsidRDefault="00D23449" w:rsidP="00D23449">
            <w:pPr>
              <w:pStyle w:val="ListParagraph"/>
              <w:numPr>
                <w:ilvl w:val="0"/>
                <w:numId w:val="26"/>
              </w:numPr>
              <w:spacing w:before="60" w:after="0" w:line="240" w:lineRule="auto"/>
              <w:ind w:left="426" w:hanging="284"/>
              <w:contextualSpacing w:val="0"/>
              <w:jc w:val="both"/>
              <w:rPr>
                <w:rFonts w:asciiTheme="minorHAnsi" w:eastAsia="Arial Unicode MS" w:hAnsiTheme="minorHAnsi" w:cstheme="minorHAnsi"/>
              </w:rPr>
            </w:pPr>
            <w:r w:rsidRPr="002B05D2">
              <w:rPr>
                <w:rFonts w:asciiTheme="minorHAnsi" w:eastAsia="Arial Unicode MS" w:hAnsiTheme="minorHAnsi" w:cstheme="minorHAnsi"/>
              </w:rPr>
              <w:t xml:space="preserve">Record in patient notes that the swab has been </w:t>
            </w:r>
            <w:r>
              <w:rPr>
                <w:rFonts w:asciiTheme="minorHAnsi" w:eastAsia="Arial Unicode MS" w:hAnsiTheme="minorHAnsi" w:cstheme="minorHAnsi"/>
              </w:rPr>
              <w:t>taken and/or antibiotics have been given</w:t>
            </w:r>
            <w:r w:rsidR="00C45513">
              <w:rPr>
                <w:rFonts w:asciiTheme="minorHAnsi" w:eastAsia="Arial Unicode MS" w:hAnsiTheme="minorHAnsi" w:cstheme="minorHAnsi"/>
              </w:rPr>
              <w:t xml:space="preserve"> </w:t>
            </w:r>
            <w:r w:rsidRPr="002B05D2">
              <w:rPr>
                <w:rFonts w:asciiTheme="minorHAnsi" w:eastAsia="Arial Unicode MS" w:hAnsiTheme="minorHAnsi" w:cstheme="minorHAnsi"/>
              </w:rPr>
              <w:t xml:space="preserve">(B) </w:t>
            </w:r>
            <w:r w:rsidRPr="00C45513">
              <w:rPr>
                <w:rFonts w:asciiTheme="minorHAnsi" w:eastAsia="Arial Unicode MS" w:hAnsiTheme="minorHAnsi" w:cstheme="minorHAnsi"/>
              </w:rPr>
              <w:t>and notify the patients primary care practitioner for follow-up (B)</w:t>
            </w:r>
          </w:p>
          <w:p w:rsidR="00D23449" w:rsidRDefault="00A37B13" w:rsidP="00D23449">
            <w:pPr>
              <w:pStyle w:val="ListParagraph"/>
              <w:numPr>
                <w:ilvl w:val="0"/>
                <w:numId w:val="26"/>
              </w:numPr>
              <w:spacing w:before="60" w:after="0" w:line="240" w:lineRule="auto"/>
              <w:ind w:left="426" w:hanging="284"/>
              <w:contextualSpacing w:val="0"/>
              <w:jc w:val="both"/>
              <w:rPr>
                <w:rFonts w:asciiTheme="minorHAnsi" w:eastAsia="Arial Unicode MS" w:hAnsiTheme="minorHAnsi" w:cstheme="minorHAnsi"/>
              </w:rPr>
            </w:pPr>
            <w:r w:rsidRPr="00C45513">
              <w:rPr>
                <w:rFonts w:asciiTheme="minorHAnsi" w:eastAsia="Arial Unicode MS" w:hAnsiTheme="minorHAnsi" w:cstheme="minorHAnsi"/>
              </w:rPr>
              <w:t>A</w:t>
            </w:r>
            <w:r w:rsidR="00D23449" w:rsidRPr="00C45513">
              <w:rPr>
                <w:rFonts w:asciiTheme="minorHAnsi" w:eastAsia="Arial Unicode MS" w:hAnsiTheme="minorHAnsi" w:cstheme="minorHAnsi"/>
              </w:rPr>
              <w:t>sk about the overall health and well being of a patient with ARF and</w:t>
            </w:r>
            <w:r w:rsidR="00E90687" w:rsidRPr="00C45513">
              <w:rPr>
                <w:rFonts w:asciiTheme="minorHAnsi" w:eastAsia="Arial Unicode MS" w:hAnsiTheme="minorHAnsi" w:cstheme="minorHAnsi"/>
              </w:rPr>
              <w:t>,</w:t>
            </w:r>
            <w:r w:rsidR="00D23449" w:rsidRPr="002B05D2">
              <w:rPr>
                <w:rFonts w:asciiTheme="minorHAnsi" w:eastAsia="Arial Unicode MS" w:hAnsiTheme="minorHAnsi" w:cstheme="minorHAnsi"/>
              </w:rPr>
              <w:t xml:space="preserve"> </w:t>
            </w:r>
            <w:r w:rsidR="00D23449">
              <w:rPr>
                <w:rFonts w:asciiTheme="minorHAnsi" w:eastAsia="Arial Unicode MS" w:hAnsiTheme="minorHAnsi" w:cstheme="minorHAnsi"/>
              </w:rPr>
              <w:t>where appropriate</w:t>
            </w:r>
            <w:r w:rsidR="00E90687">
              <w:rPr>
                <w:rFonts w:asciiTheme="minorHAnsi" w:eastAsia="Arial Unicode MS" w:hAnsiTheme="minorHAnsi" w:cstheme="minorHAnsi"/>
              </w:rPr>
              <w:t>,</w:t>
            </w:r>
            <w:r w:rsidR="00D23449">
              <w:rPr>
                <w:rFonts w:asciiTheme="minorHAnsi" w:eastAsia="Arial Unicode MS" w:hAnsiTheme="minorHAnsi" w:cstheme="minorHAnsi"/>
              </w:rPr>
              <w:t xml:space="preserve"> </w:t>
            </w:r>
            <w:r w:rsidR="00D23449" w:rsidRPr="002B05D2">
              <w:rPr>
                <w:rFonts w:asciiTheme="minorHAnsi" w:eastAsia="Arial Unicode MS" w:hAnsiTheme="minorHAnsi" w:cstheme="minorHAnsi"/>
              </w:rPr>
              <w:t>exchange information with</w:t>
            </w:r>
            <w:r w:rsidR="00D23449">
              <w:rPr>
                <w:rFonts w:asciiTheme="minorHAnsi" w:eastAsia="Arial Unicode MS" w:hAnsiTheme="minorHAnsi" w:cstheme="minorHAnsi"/>
              </w:rPr>
              <w:t xml:space="preserve"> their primary care practitioner</w:t>
            </w:r>
            <w:r w:rsidR="00D23449" w:rsidRPr="002B05D2">
              <w:rPr>
                <w:rFonts w:asciiTheme="minorHAnsi" w:eastAsia="Arial Unicode MS" w:hAnsiTheme="minorHAnsi" w:cstheme="minorHAnsi"/>
              </w:rPr>
              <w:t xml:space="preserve"> to establish an appropriate</w:t>
            </w:r>
            <w:r w:rsidR="00D23449">
              <w:rPr>
                <w:rFonts w:asciiTheme="minorHAnsi" w:eastAsia="Arial Unicode MS" w:hAnsiTheme="minorHAnsi" w:cstheme="minorHAnsi"/>
              </w:rPr>
              <w:t xml:space="preserve"> oral and health</w:t>
            </w:r>
            <w:r w:rsidR="00D23449" w:rsidRPr="002B05D2">
              <w:rPr>
                <w:rFonts w:asciiTheme="minorHAnsi" w:eastAsia="Arial Unicode MS" w:hAnsiTheme="minorHAnsi" w:cstheme="minorHAnsi"/>
              </w:rPr>
              <w:t xml:space="preserve"> care plan (B)</w:t>
            </w:r>
          </w:p>
          <w:p w:rsidR="00D23449" w:rsidRPr="0003585F" w:rsidRDefault="00D23449" w:rsidP="00D23449">
            <w:pPr>
              <w:spacing w:before="120" w:after="120"/>
              <w:jc w:val="both"/>
              <w:rPr>
                <w:rFonts w:asciiTheme="minorHAnsi" w:eastAsia="Arial Unicode MS" w:hAnsiTheme="minorHAnsi" w:cstheme="minorHAnsi"/>
                <w:b/>
                <w:sz w:val="22"/>
              </w:rPr>
            </w:pPr>
            <w:r w:rsidRPr="0003585F">
              <w:rPr>
                <w:rFonts w:asciiTheme="minorHAnsi" w:eastAsia="Arial Unicode MS" w:hAnsiTheme="minorHAnsi" w:cstheme="minorHAnsi"/>
                <w:b/>
                <w:sz w:val="22"/>
              </w:rPr>
              <w:lastRenderedPageBreak/>
              <w:t>P</w:t>
            </w:r>
            <w:r w:rsidR="00A37B13">
              <w:rPr>
                <w:rFonts w:asciiTheme="minorHAnsi" w:eastAsia="Arial Unicode MS" w:hAnsiTheme="minorHAnsi" w:cstheme="minorHAnsi"/>
                <w:b/>
                <w:sz w:val="22"/>
              </w:rPr>
              <w:t xml:space="preserve">rimary care </w:t>
            </w:r>
            <w:r w:rsidR="00A37B13" w:rsidRPr="00C45513">
              <w:rPr>
                <w:rFonts w:asciiTheme="minorHAnsi" w:eastAsia="Arial Unicode MS" w:hAnsiTheme="minorHAnsi" w:cstheme="minorHAnsi"/>
                <w:b/>
                <w:sz w:val="22"/>
              </w:rPr>
              <w:t>practitioners must</w:t>
            </w:r>
            <w:r w:rsidRPr="00C45513">
              <w:rPr>
                <w:rFonts w:asciiTheme="minorHAnsi" w:eastAsia="Arial Unicode MS" w:hAnsiTheme="minorHAnsi" w:cstheme="minorHAnsi"/>
                <w:b/>
                <w:sz w:val="22"/>
              </w:rPr>
              <w:t>:</w:t>
            </w:r>
          </w:p>
          <w:p w:rsidR="00D23449" w:rsidRPr="00C45513" w:rsidRDefault="00D23449" w:rsidP="00D23449">
            <w:pPr>
              <w:pStyle w:val="ListParagraph"/>
              <w:numPr>
                <w:ilvl w:val="0"/>
                <w:numId w:val="26"/>
              </w:numPr>
              <w:spacing w:before="60" w:after="0" w:line="240" w:lineRule="auto"/>
              <w:ind w:left="426" w:hanging="284"/>
              <w:contextualSpacing w:val="0"/>
              <w:jc w:val="both"/>
              <w:rPr>
                <w:rFonts w:asciiTheme="minorHAnsi" w:eastAsia="Arial Unicode MS" w:hAnsiTheme="minorHAnsi" w:cstheme="minorHAnsi"/>
                <w:b/>
              </w:rPr>
            </w:pPr>
            <w:r w:rsidRPr="00C45513">
              <w:rPr>
                <w:rFonts w:asciiTheme="minorHAnsi" w:eastAsia="Arial Unicode MS" w:hAnsiTheme="minorHAnsi" w:cstheme="minorHAnsi"/>
              </w:rPr>
              <w:t xml:space="preserve">Advise the oral health </w:t>
            </w:r>
            <w:r w:rsidR="0059287F" w:rsidRPr="00C45513">
              <w:rPr>
                <w:rFonts w:asciiTheme="minorHAnsi" w:eastAsia="Arial Unicode MS" w:hAnsiTheme="minorHAnsi" w:cstheme="minorHAnsi"/>
              </w:rPr>
              <w:t>practitioner of swab results and confirm treatment provided</w:t>
            </w:r>
            <w:r w:rsidR="00C45513">
              <w:rPr>
                <w:rFonts w:asciiTheme="minorHAnsi" w:eastAsia="Arial Unicode MS" w:hAnsiTheme="minorHAnsi" w:cstheme="minorHAnsi"/>
              </w:rPr>
              <w:t xml:space="preserve"> </w:t>
            </w:r>
            <w:r w:rsidR="0059287F" w:rsidRPr="00C45513">
              <w:rPr>
                <w:rFonts w:asciiTheme="minorHAnsi" w:eastAsia="Arial Unicode MS" w:hAnsiTheme="minorHAnsi" w:cstheme="minorHAnsi"/>
              </w:rPr>
              <w:t>(B)</w:t>
            </w:r>
          </w:p>
          <w:p w:rsidR="00FE2839" w:rsidRPr="00D23449" w:rsidRDefault="00D23449" w:rsidP="00D23449">
            <w:pPr>
              <w:pStyle w:val="ListParagraph"/>
              <w:numPr>
                <w:ilvl w:val="0"/>
                <w:numId w:val="26"/>
              </w:numPr>
              <w:spacing w:before="60" w:after="0" w:line="240" w:lineRule="auto"/>
              <w:ind w:left="426" w:hanging="284"/>
              <w:contextualSpacing w:val="0"/>
              <w:jc w:val="both"/>
              <w:rPr>
                <w:rFonts w:asciiTheme="minorHAnsi" w:eastAsia="Arial Unicode MS" w:hAnsiTheme="minorHAnsi" w:cstheme="minorHAnsi"/>
                <w:b/>
              </w:rPr>
            </w:pPr>
            <w:r w:rsidRPr="00D23449">
              <w:rPr>
                <w:rFonts w:asciiTheme="minorHAnsi" w:eastAsia="Arial Unicode MS" w:hAnsiTheme="minorHAnsi" w:cstheme="minorHAnsi"/>
              </w:rPr>
              <w:t>Refer patients with rheumatic heart disease to the MOHP or their preferred dental provider for regular dental care and document in patient notes that you have done so (B)</w:t>
            </w:r>
          </w:p>
        </w:tc>
      </w:tr>
      <w:tr w:rsidR="00FE2839" w:rsidRPr="002B05D2" w:rsidTr="00A37B13">
        <w:trPr>
          <w:trHeight w:val="5978"/>
        </w:trPr>
        <w:tc>
          <w:tcPr>
            <w:tcW w:w="9039" w:type="dxa"/>
            <w:tcBorders>
              <w:top w:val="single" w:sz="4" w:space="0" w:color="42D0B8"/>
              <w:left w:val="single" w:sz="4" w:space="0" w:color="42D0B8"/>
              <w:bottom w:val="single" w:sz="4" w:space="0" w:color="4BACC6" w:themeColor="accent5"/>
              <w:right w:val="single" w:sz="4" w:space="0" w:color="42D0B8"/>
            </w:tcBorders>
            <w:shd w:val="clear" w:color="auto" w:fill="auto"/>
          </w:tcPr>
          <w:p w:rsidR="00D23449" w:rsidRDefault="00D23449" w:rsidP="00D23449">
            <w:pPr>
              <w:spacing w:before="120"/>
              <w:jc w:val="both"/>
              <w:rPr>
                <w:rFonts w:asciiTheme="minorHAnsi" w:eastAsia="Arial Unicode MS" w:hAnsiTheme="minorHAnsi" w:cstheme="minorHAnsi"/>
                <w:b/>
                <w:sz w:val="22"/>
                <w:szCs w:val="22"/>
              </w:rPr>
            </w:pPr>
            <w:r>
              <w:rPr>
                <w:rFonts w:asciiTheme="minorHAnsi" w:eastAsia="Arial Unicode MS" w:hAnsiTheme="minorHAnsi" w:cstheme="minorHAnsi"/>
                <w:b/>
                <w:sz w:val="22"/>
                <w:szCs w:val="22"/>
              </w:rPr>
              <w:lastRenderedPageBreak/>
              <w:t>FOCUS</w:t>
            </w:r>
          </w:p>
          <w:p w:rsidR="00D23449" w:rsidRDefault="00D23449" w:rsidP="00D23449">
            <w:pPr>
              <w:pStyle w:val="ListParagraph"/>
              <w:numPr>
                <w:ilvl w:val="0"/>
                <w:numId w:val="26"/>
              </w:numPr>
              <w:spacing w:before="60" w:after="120" w:line="240" w:lineRule="auto"/>
              <w:ind w:left="426" w:hanging="284"/>
              <w:contextualSpacing w:val="0"/>
              <w:jc w:val="both"/>
              <w:rPr>
                <w:rFonts w:asciiTheme="minorHAnsi" w:eastAsia="Arial Unicode MS" w:hAnsiTheme="minorHAnsi" w:cstheme="minorHAnsi"/>
              </w:rPr>
            </w:pPr>
            <w:r w:rsidRPr="002B05D2">
              <w:rPr>
                <w:rFonts w:asciiTheme="minorHAnsi" w:eastAsia="Arial Unicode MS" w:hAnsiTheme="minorHAnsi" w:cstheme="minorHAnsi"/>
              </w:rPr>
              <w:t>Māori oral health services and umbre</w:t>
            </w:r>
            <w:r w:rsidR="00A37B13">
              <w:rPr>
                <w:rFonts w:asciiTheme="minorHAnsi" w:eastAsia="Arial Unicode MS" w:hAnsiTheme="minorHAnsi" w:cstheme="minorHAnsi"/>
              </w:rPr>
              <w:t>lla primary care services must</w:t>
            </w:r>
            <w:r w:rsidRPr="002B05D2">
              <w:rPr>
                <w:rFonts w:asciiTheme="minorHAnsi" w:eastAsia="Arial Unicode MS" w:hAnsiTheme="minorHAnsi" w:cstheme="minorHAnsi"/>
              </w:rPr>
              <w:t xml:space="preserve"> meet to establish and maintain effective integration and coordination practices for dealing with patients with rheumatic fever or at risk of rheumatic fever (B)</w:t>
            </w:r>
          </w:p>
          <w:p w:rsidR="00D23449" w:rsidRPr="002B05D2" w:rsidRDefault="00D23449" w:rsidP="00D23449">
            <w:pPr>
              <w:pStyle w:val="ListParagraph"/>
              <w:numPr>
                <w:ilvl w:val="0"/>
                <w:numId w:val="26"/>
              </w:numPr>
              <w:spacing w:before="60" w:after="0" w:line="240" w:lineRule="auto"/>
              <w:ind w:left="426" w:hanging="284"/>
              <w:contextualSpacing w:val="0"/>
              <w:jc w:val="both"/>
              <w:rPr>
                <w:rFonts w:asciiTheme="minorHAnsi" w:eastAsia="Arial Unicode MS" w:hAnsiTheme="minorHAnsi" w:cstheme="minorHAnsi"/>
              </w:rPr>
            </w:pPr>
            <w:r w:rsidRPr="002B05D2">
              <w:rPr>
                <w:rFonts w:asciiTheme="minorHAnsi" w:eastAsia="Arial Unicode MS" w:hAnsiTheme="minorHAnsi" w:cstheme="minorHAnsi"/>
              </w:rPr>
              <w:t>Attend or instigate inter-service (</w:t>
            </w:r>
            <w:r>
              <w:rPr>
                <w:rFonts w:asciiTheme="minorHAnsi" w:eastAsia="Arial Unicode MS" w:hAnsiTheme="minorHAnsi" w:cstheme="minorHAnsi"/>
              </w:rPr>
              <w:t>oral health care practitioners, primary health care practitioner/s</w:t>
            </w:r>
            <w:r w:rsidRPr="002B05D2">
              <w:rPr>
                <w:rFonts w:asciiTheme="minorHAnsi" w:eastAsia="Arial Unicode MS" w:hAnsiTheme="minorHAnsi" w:cstheme="minorHAnsi"/>
              </w:rPr>
              <w:t xml:space="preserve">, Community nurse, Public Health nurses) meetings as appropriate to ensure </w:t>
            </w:r>
            <w:r>
              <w:rPr>
                <w:rFonts w:asciiTheme="minorHAnsi" w:eastAsia="Arial Unicode MS" w:hAnsiTheme="minorHAnsi" w:cstheme="minorHAnsi"/>
              </w:rPr>
              <w:t>quality and continuity of care. These hui might</w:t>
            </w:r>
            <w:r w:rsidRPr="002B05D2">
              <w:rPr>
                <w:rFonts w:asciiTheme="minorHAnsi" w:eastAsia="Arial Unicode MS" w:hAnsiTheme="minorHAnsi" w:cstheme="minorHAnsi"/>
              </w:rPr>
              <w:t xml:space="preserve"> discuss how respective services can facilitate access to care, or the development of formal (two-way) referral processes, which includes documenting outcome of referral (B)</w:t>
            </w:r>
          </w:p>
          <w:p w:rsidR="00D23449" w:rsidRPr="002B05D2" w:rsidRDefault="00D23449" w:rsidP="00D23449">
            <w:pPr>
              <w:pStyle w:val="ListParagraph"/>
              <w:numPr>
                <w:ilvl w:val="0"/>
                <w:numId w:val="26"/>
              </w:numPr>
              <w:spacing w:before="60" w:after="0" w:line="240" w:lineRule="auto"/>
              <w:ind w:left="426" w:hanging="284"/>
              <w:contextualSpacing w:val="0"/>
              <w:jc w:val="both"/>
              <w:rPr>
                <w:rFonts w:asciiTheme="minorHAnsi" w:eastAsia="Arial Unicode MS" w:hAnsiTheme="minorHAnsi" w:cstheme="minorHAnsi"/>
              </w:rPr>
            </w:pPr>
            <w:r w:rsidRPr="002B05D2">
              <w:rPr>
                <w:rFonts w:asciiTheme="minorHAnsi" w:eastAsia="Arial Unicode MS" w:hAnsiTheme="minorHAnsi" w:cstheme="minorHAnsi"/>
              </w:rPr>
              <w:t>Increase awareness of other programmes and support services being accessed by, and available to wh</w:t>
            </w:r>
            <w:r w:rsidR="0089538A">
              <w:rPr>
                <w:rFonts w:asciiTheme="minorHAnsi" w:eastAsia="Arial Unicode MS" w:hAnsiTheme="minorHAnsi" w:cstheme="minorHAnsi"/>
              </w:rPr>
              <w:t>ā</w:t>
            </w:r>
            <w:r w:rsidRPr="002B05D2">
              <w:rPr>
                <w:rFonts w:asciiTheme="minorHAnsi" w:eastAsia="Arial Unicode MS" w:hAnsiTheme="minorHAnsi" w:cstheme="minorHAnsi"/>
              </w:rPr>
              <w:t>nau (B). This will ensure oral health practitioners can have confidence in the range of programmes,  and that they are appropriate for wh</w:t>
            </w:r>
            <w:r w:rsidR="0089538A">
              <w:rPr>
                <w:rFonts w:asciiTheme="minorHAnsi" w:eastAsia="Arial Unicode MS" w:hAnsiTheme="minorHAnsi" w:cstheme="minorHAnsi"/>
              </w:rPr>
              <w:t>ā</w:t>
            </w:r>
            <w:r w:rsidRPr="002B05D2">
              <w:rPr>
                <w:rFonts w:asciiTheme="minorHAnsi" w:eastAsia="Arial Unicode MS" w:hAnsiTheme="minorHAnsi" w:cstheme="minorHAnsi"/>
              </w:rPr>
              <w:t xml:space="preserve">nau </w:t>
            </w:r>
          </w:p>
          <w:p w:rsidR="00D23449" w:rsidRPr="002B05D2" w:rsidRDefault="00D23449" w:rsidP="00D23449">
            <w:pPr>
              <w:pStyle w:val="ListParagraph"/>
              <w:numPr>
                <w:ilvl w:val="0"/>
                <w:numId w:val="26"/>
              </w:numPr>
              <w:spacing w:before="60" w:after="0" w:line="240" w:lineRule="auto"/>
              <w:ind w:left="426" w:hanging="284"/>
              <w:contextualSpacing w:val="0"/>
              <w:jc w:val="both"/>
              <w:rPr>
                <w:rFonts w:asciiTheme="minorHAnsi" w:eastAsia="Arial Unicode MS" w:hAnsiTheme="minorHAnsi" w:cstheme="minorHAnsi"/>
              </w:rPr>
            </w:pPr>
            <w:r w:rsidRPr="002B05D2">
              <w:rPr>
                <w:rFonts w:asciiTheme="minorHAnsi" w:eastAsia="Arial Unicode MS" w:hAnsiTheme="minorHAnsi" w:cstheme="minorHAnsi"/>
              </w:rPr>
              <w:t>Oral health practitioners may consider education relevant to the component of care they are providing (B).  For example, MOHP staff may consider education in:</w:t>
            </w:r>
          </w:p>
          <w:p w:rsidR="00D23449" w:rsidRPr="002B05D2" w:rsidRDefault="00D23449" w:rsidP="00D23449">
            <w:pPr>
              <w:pStyle w:val="ListParagraph"/>
              <w:numPr>
                <w:ilvl w:val="0"/>
                <w:numId w:val="21"/>
              </w:numPr>
              <w:spacing w:after="0" w:line="240" w:lineRule="auto"/>
              <w:ind w:left="1071" w:hanging="357"/>
              <w:contextualSpacing w:val="0"/>
              <w:jc w:val="both"/>
              <w:rPr>
                <w:rFonts w:asciiTheme="minorHAnsi" w:eastAsia="Arial Unicode MS" w:hAnsiTheme="minorHAnsi" w:cstheme="minorHAnsi"/>
              </w:rPr>
            </w:pPr>
            <w:r w:rsidRPr="002B05D2">
              <w:rPr>
                <w:rFonts w:asciiTheme="minorHAnsi" w:eastAsia="Arial Unicode MS" w:hAnsiTheme="minorHAnsi" w:cstheme="minorHAnsi"/>
              </w:rPr>
              <w:t>components of the B4 school programme</w:t>
            </w:r>
          </w:p>
          <w:p w:rsidR="00D23449" w:rsidRPr="0003701A" w:rsidRDefault="00D23449" w:rsidP="00D23449">
            <w:pPr>
              <w:pStyle w:val="ListParagraph"/>
              <w:numPr>
                <w:ilvl w:val="0"/>
                <w:numId w:val="21"/>
              </w:numPr>
              <w:spacing w:after="0" w:line="240" w:lineRule="auto"/>
              <w:ind w:left="1071" w:hanging="357"/>
              <w:contextualSpacing w:val="0"/>
              <w:jc w:val="both"/>
              <w:rPr>
                <w:rFonts w:asciiTheme="minorHAnsi" w:eastAsia="Arial Unicode MS" w:hAnsiTheme="minorHAnsi" w:cstheme="minorHAnsi"/>
              </w:rPr>
            </w:pPr>
            <w:r w:rsidRPr="002B05D2">
              <w:rPr>
                <w:rFonts w:asciiTheme="minorHAnsi" w:eastAsia="Arial Unicode MS" w:hAnsiTheme="minorHAnsi" w:cstheme="minorHAnsi"/>
              </w:rPr>
              <w:t>benefits of immunisation</w:t>
            </w:r>
          </w:p>
          <w:p w:rsidR="00D23449" w:rsidRPr="002B05D2" w:rsidRDefault="00C45513" w:rsidP="00D23449">
            <w:pPr>
              <w:pStyle w:val="ListParagraph"/>
              <w:numPr>
                <w:ilvl w:val="0"/>
                <w:numId w:val="21"/>
              </w:numPr>
              <w:spacing w:after="0" w:line="240" w:lineRule="auto"/>
              <w:ind w:left="1071" w:hanging="357"/>
              <w:contextualSpacing w:val="0"/>
              <w:jc w:val="both"/>
              <w:rPr>
                <w:rFonts w:asciiTheme="minorHAnsi" w:eastAsia="Arial Unicode MS" w:hAnsiTheme="minorHAnsi" w:cstheme="minorHAnsi"/>
              </w:rPr>
            </w:pPr>
            <w:r>
              <w:rPr>
                <w:rFonts w:asciiTheme="minorHAnsi" w:eastAsia="Arial Unicode MS" w:hAnsiTheme="minorHAnsi" w:cstheme="minorHAnsi"/>
              </w:rPr>
              <w:t xml:space="preserve">Family Start (FS) </w:t>
            </w:r>
          </w:p>
          <w:p w:rsidR="00FE2839" w:rsidRPr="002B05D2" w:rsidRDefault="00D23449" w:rsidP="00D23449">
            <w:pPr>
              <w:pStyle w:val="ListParagraph"/>
              <w:spacing w:before="60" w:after="0" w:line="240" w:lineRule="auto"/>
              <w:ind w:left="426"/>
              <w:contextualSpacing w:val="0"/>
              <w:jc w:val="both"/>
              <w:rPr>
                <w:rFonts w:asciiTheme="minorHAnsi" w:eastAsia="Arial Unicode MS" w:hAnsiTheme="minorHAnsi" w:cstheme="minorHAnsi"/>
                <w:b/>
              </w:rPr>
            </w:pPr>
            <w:r w:rsidRPr="002B05D2">
              <w:rPr>
                <w:rFonts w:asciiTheme="minorHAnsi" w:eastAsia="Arial Unicode MS" w:hAnsiTheme="minorHAnsi" w:cstheme="minorHAnsi"/>
              </w:rPr>
              <w:t xml:space="preserve">MOHP should </w:t>
            </w:r>
            <w:r w:rsidR="00A37B13">
              <w:rPr>
                <w:rFonts w:asciiTheme="minorHAnsi" w:eastAsia="Arial Unicode MS" w:hAnsiTheme="minorHAnsi" w:cstheme="minorHAnsi"/>
              </w:rPr>
              <w:t xml:space="preserve">participate in a hui with local Rheumatic Fever Prevention Programme providers and </w:t>
            </w:r>
            <w:r w:rsidRPr="002B05D2">
              <w:rPr>
                <w:rFonts w:asciiTheme="minorHAnsi" w:eastAsia="Arial Unicode MS" w:hAnsiTheme="minorHAnsi" w:cstheme="minorHAnsi"/>
              </w:rPr>
              <w:t>consider the role they can play in the advocacy of wider rheumatic fever prevention policies and activities i.e. poverty and housing (B)</w:t>
            </w:r>
          </w:p>
        </w:tc>
      </w:tr>
    </w:tbl>
    <w:p w:rsidR="00FE4A62" w:rsidRPr="002B05D2" w:rsidRDefault="002D45D4" w:rsidP="00D23449">
      <w:pPr>
        <w:autoSpaceDE w:val="0"/>
        <w:autoSpaceDN w:val="0"/>
        <w:adjustRightInd w:val="0"/>
        <w:jc w:val="both"/>
        <w:rPr>
          <w:rFonts w:asciiTheme="minorHAnsi" w:eastAsia="Arial Unicode MS" w:hAnsiTheme="minorHAnsi" w:cstheme="minorHAnsi"/>
          <w:sz w:val="16"/>
          <w:szCs w:val="16"/>
          <w:lang w:eastAsia="en-NZ"/>
        </w:rPr>
      </w:pPr>
      <w:r w:rsidRPr="002B05D2">
        <w:rPr>
          <w:rFonts w:asciiTheme="minorHAnsi" w:eastAsia="Arial Unicode MS" w:hAnsiTheme="minorHAnsi" w:cstheme="minorHAnsi"/>
          <w:sz w:val="16"/>
          <w:szCs w:val="16"/>
          <w:lang w:eastAsia="en-NZ"/>
        </w:rPr>
        <w:t>Key to Grades of Recommendations</w:t>
      </w:r>
    </w:p>
    <w:p w:rsidR="00FE4A62" w:rsidRPr="002B05D2" w:rsidRDefault="002D45D4" w:rsidP="00CF26CB">
      <w:pPr>
        <w:autoSpaceDE w:val="0"/>
        <w:autoSpaceDN w:val="0"/>
        <w:adjustRightInd w:val="0"/>
        <w:jc w:val="both"/>
        <w:rPr>
          <w:rFonts w:asciiTheme="minorHAnsi" w:eastAsia="Arial Unicode MS" w:hAnsiTheme="minorHAnsi" w:cstheme="minorHAnsi"/>
          <w:sz w:val="16"/>
          <w:szCs w:val="16"/>
          <w:lang w:eastAsia="en-NZ"/>
        </w:rPr>
      </w:pPr>
      <w:r w:rsidRPr="002B05D2">
        <w:rPr>
          <w:rFonts w:asciiTheme="minorHAnsi" w:eastAsia="Arial Unicode MS" w:hAnsiTheme="minorHAnsi" w:cstheme="minorHAnsi"/>
          <w:sz w:val="16"/>
          <w:szCs w:val="16"/>
          <w:lang w:eastAsia="en-NZ"/>
        </w:rPr>
        <w:t>A: The recommendation is supported by GOOD (strong) evidence.</w:t>
      </w:r>
    </w:p>
    <w:p w:rsidR="009D2D02" w:rsidRPr="002B05D2" w:rsidRDefault="002D45D4" w:rsidP="00CF26CB">
      <w:pPr>
        <w:autoSpaceDE w:val="0"/>
        <w:autoSpaceDN w:val="0"/>
        <w:adjustRightInd w:val="0"/>
        <w:jc w:val="both"/>
        <w:rPr>
          <w:rFonts w:asciiTheme="minorHAnsi" w:eastAsia="Arial Unicode MS" w:hAnsiTheme="minorHAnsi" w:cstheme="minorHAnsi"/>
          <w:sz w:val="22"/>
          <w:szCs w:val="22"/>
        </w:rPr>
      </w:pPr>
      <w:r w:rsidRPr="002B05D2">
        <w:rPr>
          <w:rFonts w:asciiTheme="minorHAnsi" w:eastAsia="Arial Unicode MS" w:hAnsiTheme="minorHAnsi" w:cstheme="minorHAnsi"/>
          <w:sz w:val="16"/>
          <w:szCs w:val="16"/>
          <w:lang w:eastAsia="en-NZ"/>
        </w:rPr>
        <w:t>B: The integrated best practice is supported by the Quality Improvement Group</w:t>
      </w:r>
      <w:r w:rsidR="00FF56E1" w:rsidRPr="002B05D2">
        <w:rPr>
          <w:rFonts w:asciiTheme="minorHAnsi" w:eastAsia="Arial Unicode MS" w:hAnsiTheme="minorHAnsi" w:cstheme="minorHAnsi"/>
          <w:sz w:val="16"/>
          <w:szCs w:val="16"/>
          <w:lang w:eastAsia="en-NZ"/>
        </w:rPr>
        <w:t xml:space="preserve"> for </w:t>
      </w:r>
      <w:r w:rsidR="00E85EC6" w:rsidRPr="002B05D2">
        <w:rPr>
          <w:rFonts w:asciiTheme="minorHAnsi" w:eastAsia="Arial Unicode MS" w:hAnsiTheme="minorHAnsi" w:cstheme="minorHAnsi"/>
          <w:sz w:val="16"/>
          <w:szCs w:val="16"/>
          <w:lang w:eastAsia="en-NZ"/>
        </w:rPr>
        <w:t>Māori</w:t>
      </w:r>
      <w:r w:rsidR="00FF56E1" w:rsidRPr="002B05D2">
        <w:rPr>
          <w:rFonts w:asciiTheme="minorHAnsi" w:eastAsia="Arial Unicode MS" w:hAnsiTheme="minorHAnsi" w:cstheme="minorHAnsi"/>
          <w:sz w:val="16"/>
          <w:szCs w:val="16"/>
          <w:lang w:eastAsia="en-NZ"/>
        </w:rPr>
        <w:t xml:space="preserve"> oral health providers</w:t>
      </w:r>
      <w:r w:rsidRPr="002B05D2">
        <w:rPr>
          <w:rFonts w:asciiTheme="minorHAnsi" w:eastAsia="Arial Unicode MS" w:hAnsiTheme="minorHAnsi" w:cstheme="minorHAnsi"/>
          <w:sz w:val="16"/>
          <w:szCs w:val="16"/>
          <w:lang w:eastAsia="en-NZ"/>
        </w:rPr>
        <w:t xml:space="preserve">. </w:t>
      </w:r>
    </w:p>
    <w:p w:rsidR="00EA3E2E" w:rsidRPr="002B05D2" w:rsidRDefault="00EA3E2E">
      <w:pPr>
        <w:rPr>
          <w:rFonts w:asciiTheme="minorHAnsi" w:eastAsia="Arial Unicode MS" w:hAnsiTheme="minorHAnsi" w:cstheme="minorHAnsi"/>
          <w:b/>
          <w:bCs/>
          <w:kern w:val="32"/>
          <w:sz w:val="28"/>
          <w:szCs w:val="28"/>
          <w:lang w:val="en-AU"/>
        </w:rPr>
      </w:pPr>
    </w:p>
    <w:p w:rsidR="0017504A" w:rsidRDefault="00D57B50" w:rsidP="00DA6437">
      <w:pPr>
        <w:pStyle w:val="generalsubheading"/>
      </w:pPr>
      <w:bookmarkStart w:id="23" w:name="_Toc473485925"/>
      <w:r w:rsidRPr="005F0AA6">
        <w:t>OTHER KEY GUIDELINES AND DOCUMENTS</w:t>
      </w:r>
      <w:bookmarkEnd w:id="23"/>
    </w:p>
    <w:p w:rsidR="001C0E0F" w:rsidRPr="002A2F79" w:rsidRDefault="001C0E0F" w:rsidP="004C0A1B">
      <w:pPr>
        <w:spacing w:before="240"/>
        <w:jc w:val="both"/>
        <w:rPr>
          <w:rFonts w:asciiTheme="minorHAnsi" w:hAnsiTheme="minorHAnsi" w:cstheme="minorHAnsi"/>
          <w:sz w:val="22"/>
          <w:szCs w:val="22"/>
        </w:rPr>
      </w:pPr>
      <w:r w:rsidRPr="002A2F79">
        <w:rPr>
          <w:rFonts w:asciiTheme="minorHAnsi" w:hAnsiTheme="minorHAnsi" w:cstheme="minorHAnsi"/>
          <w:sz w:val="22"/>
          <w:szCs w:val="22"/>
        </w:rPr>
        <w:t xml:space="preserve">New Zealand Guidelines Group. (2011). </w:t>
      </w:r>
      <w:r w:rsidRPr="002A2F79">
        <w:rPr>
          <w:rFonts w:asciiTheme="minorHAnsi" w:hAnsiTheme="minorHAnsi" w:cstheme="minorHAnsi"/>
          <w:i/>
          <w:sz w:val="22"/>
          <w:szCs w:val="22"/>
        </w:rPr>
        <w:t>Management of Group A Streptococcal Sore Throat</w:t>
      </w:r>
      <w:r w:rsidR="00C45513">
        <w:rPr>
          <w:rFonts w:asciiTheme="minorHAnsi" w:hAnsiTheme="minorHAnsi" w:cstheme="minorHAnsi"/>
          <w:sz w:val="22"/>
          <w:szCs w:val="22"/>
        </w:rPr>
        <w:t>. Wellington:</w:t>
      </w:r>
      <w:r w:rsidR="007D1DA7">
        <w:rPr>
          <w:rFonts w:asciiTheme="minorHAnsi" w:hAnsiTheme="minorHAnsi" w:cstheme="minorHAnsi"/>
          <w:sz w:val="22"/>
          <w:szCs w:val="22"/>
        </w:rPr>
        <w:t xml:space="preserve"> </w:t>
      </w:r>
      <w:r w:rsidRPr="002A2F79">
        <w:rPr>
          <w:rFonts w:asciiTheme="minorHAnsi" w:hAnsiTheme="minorHAnsi" w:cstheme="minorHAnsi"/>
          <w:sz w:val="22"/>
          <w:szCs w:val="22"/>
        </w:rPr>
        <w:t xml:space="preserve">New Zealand Guidelines Group. </w:t>
      </w:r>
    </w:p>
    <w:p w:rsidR="001C0E0F" w:rsidRPr="002A2F79" w:rsidRDefault="001C0E0F" w:rsidP="001C0E0F">
      <w:pPr>
        <w:jc w:val="both"/>
        <w:rPr>
          <w:rFonts w:asciiTheme="minorHAnsi" w:hAnsiTheme="minorHAnsi" w:cstheme="minorHAnsi"/>
          <w:sz w:val="22"/>
          <w:szCs w:val="22"/>
        </w:rPr>
      </w:pPr>
    </w:p>
    <w:p w:rsidR="001C0E0F" w:rsidRPr="002A2F79" w:rsidRDefault="001C0E0F" w:rsidP="001C0E0F">
      <w:pPr>
        <w:jc w:val="both"/>
        <w:rPr>
          <w:rFonts w:asciiTheme="minorHAnsi" w:hAnsiTheme="minorHAnsi" w:cstheme="minorHAnsi"/>
          <w:sz w:val="22"/>
          <w:szCs w:val="22"/>
        </w:rPr>
      </w:pPr>
      <w:r w:rsidRPr="002A2F79">
        <w:rPr>
          <w:rFonts w:asciiTheme="minorHAnsi" w:hAnsiTheme="minorHAnsi" w:cstheme="minorHAnsi"/>
          <w:sz w:val="22"/>
          <w:szCs w:val="22"/>
        </w:rPr>
        <w:t xml:space="preserve">New Zealand Guidelines Group. (2011). </w:t>
      </w:r>
      <w:r w:rsidRPr="002A2F79">
        <w:rPr>
          <w:rFonts w:asciiTheme="minorHAnsi" w:hAnsiTheme="minorHAnsi" w:cstheme="minorHAnsi"/>
          <w:i/>
          <w:sz w:val="22"/>
          <w:szCs w:val="22"/>
        </w:rPr>
        <w:t>RapidE: Rheumatic Fever: A systematic review of the literature, of health literacy, overcrowding, and Rheumatic Fever</w:t>
      </w:r>
      <w:r w:rsidR="00C903CD" w:rsidRPr="002A2F79">
        <w:rPr>
          <w:rFonts w:asciiTheme="minorHAnsi" w:hAnsiTheme="minorHAnsi" w:cstheme="minorHAnsi"/>
          <w:sz w:val="22"/>
          <w:szCs w:val="22"/>
        </w:rPr>
        <w:t>.</w:t>
      </w:r>
      <w:r w:rsidR="00C45513">
        <w:rPr>
          <w:rFonts w:asciiTheme="minorHAnsi" w:hAnsiTheme="minorHAnsi" w:cstheme="minorHAnsi"/>
          <w:sz w:val="22"/>
          <w:szCs w:val="22"/>
        </w:rPr>
        <w:t xml:space="preserve"> Wellington:</w:t>
      </w:r>
      <w:r w:rsidR="007D1DA7">
        <w:rPr>
          <w:rFonts w:asciiTheme="minorHAnsi" w:hAnsiTheme="minorHAnsi" w:cstheme="minorHAnsi"/>
          <w:sz w:val="22"/>
          <w:szCs w:val="22"/>
        </w:rPr>
        <w:t xml:space="preserve"> </w:t>
      </w:r>
      <w:r w:rsidRPr="002A2F79">
        <w:rPr>
          <w:rFonts w:asciiTheme="minorHAnsi" w:hAnsiTheme="minorHAnsi" w:cstheme="minorHAnsi"/>
          <w:sz w:val="22"/>
          <w:szCs w:val="22"/>
        </w:rPr>
        <w:t xml:space="preserve">New Zealand Guidelines Group. </w:t>
      </w:r>
    </w:p>
    <w:p w:rsidR="001C0E0F" w:rsidRPr="002A2F79" w:rsidRDefault="001C0E0F" w:rsidP="001C0E0F">
      <w:pPr>
        <w:jc w:val="both"/>
        <w:rPr>
          <w:rFonts w:asciiTheme="minorHAnsi" w:hAnsiTheme="minorHAnsi" w:cstheme="minorHAnsi"/>
          <w:sz w:val="22"/>
          <w:szCs w:val="22"/>
        </w:rPr>
      </w:pPr>
    </w:p>
    <w:p w:rsidR="001C0E0F" w:rsidRPr="002A2F79" w:rsidRDefault="001C0E0F" w:rsidP="001C0E0F">
      <w:pPr>
        <w:rPr>
          <w:rFonts w:asciiTheme="minorHAnsi" w:hAnsiTheme="minorHAnsi" w:cstheme="minorHAnsi"/>
          <w:sz w:val="22"/>
          <w:szCs w:val="22"/>
        </w:rPr>
      </w:pPr>
      <w:r w:rsidRPr="002A2F79">
        <w:rPr>
          <w:rFonts w:asciiTheme="minorHAnsi" w:hAnsiTheme="minorHAnsi" w:cstheme="minorHAnsi"/>
          <w:sz w:val="22"/>
          <w:szCs w:val="22"/>
        </w:rPr>
        <w:t xml:space="preserve">New Zealand Guidelines Group. (2012). </w:t>
      </w:r>
      <w:r w:rsidRPr="002A2F79">
        <w:rPr>
          <w:rFonts w:asciiTheme="minorHAnsi" w:hAnsiTheme="minorHAnsi" w:cstheme="minorHAnsi"/>
          <w:i/>
          <w:sz w:val="22"/>
          <w:szCs w:val="22"/>
        </w:rPr>
        <w:t>New Zealand Primary Care Handbook 2012</w:t>
      </w:r>
      <w:r w:rsidR="003D75B1" w:rsidRPr="002A2F79">
        <w:rPr>
          <w:rFonts w:asciiTheme="minorHAnsi" w:hAnsiTheme="minorHAnsi" w:cstheme="minorHAnsi"/>
          <w:sz w:val="22"/>
          <w:szCs w:val="22"/>
        </w:rPr>
        <w:t>. 3</w:t>
      </w:r>
      <w:r w:rsidR="003D75B1" w:rsidRPr="002A2F79">
        <w:rPr>
          <w:rFonts w:asciiTheme="minorHAnsi" w:hAnsiTheme="minorHAnsi" w:cstheme="minorHAnsi"/>
          <w:sz w:val="22"/>
          <w:szCs w:val="22"/>
          <w:vertAlign w:val="superscript"/>
        </w:rPr>
        <w:t>rd</w:t>
      </w:r>
      <w:r w:rsidR="003D75B1" w:rsidRPr="002A2F79">
        <w:rPr>
          <w:rFonts w:asciiTheme="minorHAnsi" w:hAnsiTheme="minorHAnsi" w:cstheme="minorHAnsi"/>
          <w:sz w:val="22"/>
          <w:szCs w:val="22"/>
        </w:rPr>
        <w:t xml:space="preserve"> e</w:t>
      </w:r>
      <w:r w:rsidRPr="002A2F79">
        <w:rPr>
          <w:rFonts w:asciiTheme="minorHAnsi" w:hAnsiTheme="minorHAnsi" w:cstheme="minorHAnsi"/>
          <w:sz w:val="22"/>
          <w:szCs w:val="22"/>
        </w:rPr>
        <w:t>d. Wellington: New Zealand Guidelines Group.</w:t>
      </w:r>
    </w:p>
    <w:p w:rsidR="001C0E0F" w:rsidRPr="002A2F79" w:rsidRDefault="001C0E0F" w:rsidP="001C0E0F">
      <w:pPr>
        <w:rPr>
          <w:rFonts w:asciiTheme="minorHAnsi" w:hAnsiTheme="minorHAnsi" w:cstheme="minorHAnsi"/>
          <w:sz w:val="22"/>
          <w:szCs w:val="22"/>
        </w:rPr>
      </w:pPr>
    </w:p>
    <w:p w:rsidR="0017504A" w:rsidRPr="002A2F79" w:rsidRDefault="002D45D4" w:rsidP="001C0E0F">
      <w:pPr>
        <w:rPr>
          <w:rFonts w:asciiTheme="minorHAnsi" w:eastAsia="Arial Unicode MS" w:hAnsiTheme="minorHAnsi" w:cstheme="minorHAnsi"/>
          <w:kern w:val="32"/>
          <w:sz w:val="22"/>
          <w:szCs w:val="22"/>
        </w:rPr>
      </w:pPr>
      <w:r w:rsidRPr="002A2F79">
        <w:rPr>
          <w:rFonts w:asciiTheme="minorHAnsi" w:hAnsiTheme="minorHAnsi" w:cstheme="minorHAnsi"/>
          <w:sz w:val="22"/>
          <w:szCs w:val="22"/>
        </w:rPr>
        <w:t xml:space="preserve">The Heart Foundation. (2006). </w:t>
      </w:r>
      <w:r w:rsidRPr="002A2F79">
        <w:rPr>
          <w:rFonts w:asciiTheme="minorHAnsi" w:hAnsiTheme="minorHAnsi" w:cstheme="minorHAnsi"/>
          <w:i/>
          <w:sz w:val="22"/>
          <w:szCs w:val="22"/>
        </w:rPr>
        <w:t>New Zealand Guidelines for Rheumatic Fever – 1. Diagnosis, management and secondary prevention</w:t>
      </w:r>
      <w:r w:rsidRPr="002A2F79">
        <w:rPr>
          <w:rFonts w:asciiTheme="minorHAnsi" w:hAnsiTheme="minorHAnsi" w:cstheme="minorHAnsi"/>
          <w:sz w:val="22"/>
          <w:szCs w:val="22"/>
        </w:rPr>
        <w:t>. Auckland:</w:t>
      </w:r>
      <w:r w:rsidR="007D1DA7">
        <w:rPr>
          <w:rFonts w:asciiTheme="minorHAnsi" w:hAnsiTheme="minorHAnsi" w:cstheme="minorHAnsi"/>
          <w:sz w:val="22"/>
          <w:szCs w:val="22"/>
        </w:rPr>
        <w:t xml:space="preserve"> </w:t>
      </w:r>
      <w:r w:rsidRPr="002A2F79">
        <w:rPr>
          <w:rFonts w:asciiTheme="minorHAnsi" w:hAnsiTheme="minorHAnsi" w:cstheme="minorHAnsi"/>
          <w:sz w:val="22"/>
          <w:szCs w:val="22"/>
        </w:rPr>
        <w:t>The Heart Foundation.</w:t>
      </w:r>
    </w:p>
    <w:p w:rsidR="0017504A" w:rsidRPr="002A2F79" w:rsidRDefault="0017504A">
      <w:pPr>
        <w:jc w:val="both"/>
        <w:rPr>
          <w:rFonts w:asciiTheme="minorHAnsi" w:hAnsiTheme="minorHAnsi" w:cstheme="minorHAnsi"/>
          <w:sz w:val="22"/>
          <w:szCs w:val="22"/>
        </w:rPr>
      </w:pPr>
    </w:p>
    <w:p w:rsidR="0017504A" w:rsidRPr="002A2F79" w:rsidRDefault="002D45D4">
      <w:pPr>
        <w:jc w:val="both"/>
        <w:rPr>
          <w:rFonts w:asciiTheme="minorHAnsi" w:hAnsiTheme="minorHAnsi" w:cstheme="minorHAnsi"/>
          <w:sz w:val="22"/>
          <w:szCs w:val="22"/>
        </w:rPr>
      </w:pPr>
      <w:r w:rsidRPr="002A2F79">
        <w:rPr>
          <w:rFonts w:asciiTheme="minorHAnsi" w:hAnsiTheme="minorHAnsi" w:cstheme="minorHAnsi"/>
          <w:sz w:val="22"/>
          <w:szCs w:val="22"/>
        </w:rPr>
        <w:t xml:space="preserve">The Heart Foundation. (2008). </w:t>
      </w:r>
      <w:r w:rsidRPr="002A2F79">
        <w:rPr>
          <w:rFonts w:asciiTheme="minorHAnsi" w:hAnsiTheme="minorHAnsi" w:cstheme="minorHAnsi"/>
          <w:i/>
          <w:sz w:val="22"/>
          <w:szCs w:val="22"/>
        </w:rPr>
        <w:t>New Zealand Guidelines for Rheumatic Fever – 2. Sore throat management</w:t>
      </w:r>
      <w:r w:rsidR="003D75B1" w:rsidRPr="002A2F79">
        <w:rPr>
          <w:rFonts w:asciiTheme="minorHAnsi" w:hAnsiTheme="minorHAnsi" w:cstheme="minorHAnsi"/>
          <w:sz w:val="22"/>
          <w:szCs w:val="22"/>
        </w:rPr>
        <w:t>.</w:t>
      </w:r>
      <w:r w:rsidR="00C45513">
        <w:rPr>
          <w:rFonts w:asciiTheme="minorHAnsi" w:hAnsiTheme="minorHAnsi" w:cstheme="minorHAnsi"/>
          <w:sz w:val="22"/>
          <w:szCs w:val="22"/>
        </w:rPr>
        <w:t xml:space="preserve"> Auckland:</w:t>
      </w:r>
      <w:r w:rsidR="007D1DA7">
        <w:rPr>
          <w:rFonts w:asciiTheme="minorHAnsi" w:hAnsiTheme="minorHAnsi" w:cstheme="minorHAnsi"/>
          <w:sz w:val="22"/>
          <w:szCs w:val="22"/>
        </w:rPr>
        <w:t xml:space="preserve"> </w:t>
      </w:r>
      <w:r w:rsidRPr="002A2F79">
        <w:rPr>
          <w:rFonts w:asciiTheme="minorHAnsi" w:hAnsiTheme="minorHAnsi" w:cstheme="minorHAnsi"/>
          <w:sz w:val="22"/>
          <w:szCs w:val="22"/>
        </w:rPr>
        <w:t>The Heart Foundation.</w:t>
      </w:r>
    </w:p>
    <w:p w:rsidR="0017504A" w:rsidRPr="002A2F79" w:rsidRDefault="0017504A">
      <w:pPr>
        <w:jc w:val="both"/>
        <w:rPr>
          <w:rFonts w:asciiTheme="minorHAnsi" w:hAnsiTheme="minorHAnsi" w:cstheme="minorHAnsi"/>
          <w:sz w:val="22"/>
          <w:szCs w:val="22"/>
        </w:rPr>
      </w:pPr>
    </w:p>
    <w:p w:rsidR="001C0E0F" w:rsidRPr="00A37B13" w:rsidRDefault="002D45D4" w:rsidP="00A37B13">
      <w:pPr>
        <w:jc w:val="both"/>
        <w:rPr>
          <w:rFonts w:ascii="Times New Roman" w:eastAsia="Arial Unicode MS" w:hAnsi="Times New Roman"/>
          <w:b/>
          <w:kern w:val="32"/>
          <w:sz w:val="40"/>
          <w:szCs w:val="48"/>
        </w:rPr>
      </w:pPr>
      <w:r w:rsidRPr="002A2F79">
        <w:rPr>
          <w:rFonts w:asciiTheme="minorHAnsi" w:hAnsiTheme="minorHAnsi" w:cstheme="minorHAnsi"/>
          <w:sz w:val="22"/>
          <w:szCs w:val="22"/>
        </w:rPr>
        <w:t xml:space="preserve">The Heart Foundation. (2009). </w:t>
      </w:r>
      <w:r w:rsidRPr="002A2F79">
        <w:rPr>
          <w:rFonts w:asciiTheme="minorHAnsi" w:hAnsiTheme="minorHAnsi" w:cstheme="minorHAnsi"/>
          <w:i/>
          <w:sz w:val="22"/>
          <w:szCs w:val="22"/>
        </w:rPr>
        <w:t>New Zealand Guidelines for Rheumatic Fever – 3.</w:t>
      </w:r>
      <w:r w:rsidR="00C45513">
        <w:rPr>
          <w:rFonts w:asciiTheme="minorHAnsi" w:hAnsiTheme="minorHAnsi" w:cstheme="minorHAnsi"/>
          <w:i/>
          <w:sz w:val="22"/>
          <w:szCs w:val="22"/>
        </w:rPr>
        <w:t xml:space="preserve"> </w:t>
      </w:r>
      <w:r w:rsidRPr="002A2F79">
        <w:rPr>
          <w:rFonts w:asciiTheme="minorHAnsi" w:hAnsiTheme="minorHAnsi" w:cstheme="minorHAnsi"/>
          <w:i/>
          <w:sz w:val="22"/>
          <w:szCs w:val="22"/>
        </w:rPr>
        <w:t>Proposed rheumatic fever primary prevention programme</w:t>
      </w:r>
      <w:r w:rsidR="00C45513">
        <w:rPr>
          <w:rFonts w:asciiTheme="minorHAnsi" w:hAnsiTheme="minorHAnsi" w:cstheme="minorHAnsi"/>
          <w:sz w:val="22"/>
          <w:szCs w:val="22"/>
        </w:rPr>
        <w:t>. Auckland:</w:t>
      </w:r>
      <w:r w:rsidR="007D1DA7">
        <w:rPr>
          <w:rFonts w:asciiTheme="minorHAnsi" w:hAnsiTheme="minorHAnsi" w:cstheme="minorHAnsi"/>
          <w:sz w:val="22"/>
          <w:szCs w:val="22"/>
        </w:rPr>
        <w:t xml:space="preserve"> </w:t>
      </w:r>
      <w:r w:rsidRPr="002A2F79">
        <w:rPr>
          <w:rFonts w:asciiTheme="minorHAnsi" w:hAnsiTheme="minorHAnsi" w:cstheme="minorHAnsi"/>
          <w:sz w:val="22"/>
          <w:szCs w:val="22"/>
        </w:rPr>
        <w:t>The Heart Foundation.</w:t>
      </w:r>
      <w:r w:rsidR="001C0E0F">
        <w:rPr>
          <w:rFonts w:ascii="Times New Roman" w:hAnsi="Times New Roman"/>
          <w:sz w:val="22"/>
          <w:szCs w:val="22"/>
        </w:rPr>
        <w:t xml:space="preserve"> </w:t>
      </w:r>
    </w:p>
    <w:p w:rsidR="0017504A" w:rsidRDefault="00DC6211" w:rsidP="0036356E">
      <w:pPr>
        <w:pStyle w:val="Heading1"/>
      </w:pPr>
      <w:bookmarkStart w:id="24" w:name="_Toc473485926"/>
      <w:r w:rsidRPr="005F0AA6">
        <w:lastRenderedPageBreak/>
        <w:t>NGĀ</w:t>
      </w:r>
      <w:r w:rsidR="002D45D4" w:rsidRPr="005F0AA6">
        <w:t xml:space="preserve"> ARA TIKA: </w:t>
      </w:r>
      <w:r w:rsidR="00431E52">
        <w:t>HAUORA TAMARIKI</w:t>
      </w:r>
      <w:bookmarkEnd w:id="24"/>
    </w:p>
    <w:p w:rsidR="002E7621" w:rsidRPr="002E7621" w:rsidRDefault="00634C22" w:rsidP="00B34C30">
      <w:pPr>
        <w:pStyle w:val="generalaimheading"/>
      </w:pPr>
      <w:r>
        <mc:AlternateContent>
          <mc:Choice Requires="wps">
            <w:drawing>
              <wp:anchor distT="0" distB="0" distL="114300" distR="114300" simplePos="0" relativeHeight="251658239" behindDoc="0" locked="0" layoutInCell="1" allowOverlap="1">
                <wp:simplePos x="0" y="0"/>
                <wp:positionH relativeFrom="column">
                  <wp:posOffset>-19685</wp:posOffset>
                </wp:positionH>
                <wp:positionV relativeFrom="paragraph">
                  <wp:posOffset>292735</wp:posOffset>
                </wp:positionV>
                <wp:extent cx="5663565" cy="293370"/>
                <wp:effectExtent l="0" t="0" r="0"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3565" cy="293370"/>
                        </a:xfrm>
                        <a:prstGeom prst="rect">
                          <a:avLst/>
                        </a:prstGeom>
                        <a:solidFill>
                          <a:srgbClr val="42D0B8">
                            <a:alpha val="10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D6E36C" id="Rectangle 14" o:spid="_x0000_s1026" style="position:absolute;margin-left:-1.55pt;margin-top:23.05pt;width:445.95pt;height:23.1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" fillcolor="#42d0b8" stroked="f" strokeweight="2pt">
                <v:fill opacity="6682f"/>
                <v:path arrowok="t"/>
              </v:rect>
            </w:pict>
          </mc:Fallback>
        </mc:AlternateContent>
      </w:r>
      <w:r>
        <mc:AlternateContent>
          <mc:Choice Requires="wps">
            <w:drawing>
              <wp:anchor distT="0" distB="0" distL="114300" distR="114300" simplePos="0" relativeHeight="251657215" behindDoc="1" locked="0" layoutInCell="1" allowOverlap="1">
                <wp:simplePos x="0" y="0"/>
                <wp:positionH relativeFrom="column">
                  <wp:posOffset>-16510</wp:posOffset>
                </wp:positionH>
                <wp:positionV relativeFrom="paragraph">
                  <wp:posOffset>57150</wp:posOffset>
                </wp:positionV>
                <wp:extent cx="5660390" cy="249555"/>
                <wp:effectExtent l="0" t="0" r="0" b="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0390" cy="249555"/>
                        </a:xfrm>
                        <a:prstGeom prst="rect">
                          <a:avLst/>
                        </a:prstGeom>
                        <a:solidFill>
                          <a:srgbClr val="42D0B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8839ED" id="Rectangle 13" o:spid="_x0000_s1026" style="position:absolute;margin-left:-1.3pt;margin-top:4.5pt;width:445.7pt;height:19.6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" fillcolor="#42d0b8" stroked="f" strokeweight="2pt">
                <v:path arrowok="t"/>
              </v:rect>
            </w:pict>
          </mc:Fallback>
        </mc:AlternateContent>
      </w:r>
      <w:r w:rsidR="00DA49AF">
        <w:t>AIM</w:t>
      </w:r>
      <w:r w:rsidR="002E7621">
        <w:t xml:space="preserve">: </w:t>
      </w:r>
    </w:p>
    <w:p w:rsidR="005D4084" w:rsidRPr="002E7621" w:rsidRDefault="00171D1D" w:rsidP="002E7621">
      <w:pPr>
        <w:pStyle w:val="generalaimtext"/>
      </w:pPr>
      <w:r w:rsidRPr="002E7621">
        <w:t xml:space="preserve">To check, connect, and organise care for tamariki with unmet health needs </w:t>
      </w:r>
    </w:p>
    <w:p w:rsidR="0017504A" w:rsidRDefault="0017504A">
      <w:pPr>
        <w:jc w:val="both"/>
        <w:rPr>
          <w:rFonts w:ascii="Times New Roman" w:eastAsia="Arial Unicode MS" w:hAnsi="Times New Roman"/>
        </w:rPr>
      </w:pPr>
    </w:p>
    <w:p w:rsidR="00DF6FA7" w:rsidRPr="005F0AA6" w:rsidRDefault="00DF6FA7" w:rsidP="00DA6437">
      <w:pPr>
        <w:pStyle w:val="generalsubheading"/>
      </w:pPr>
      <w:bookmarkStart w:id="25" w:name="_Toc473485927"/>
      <w:r w:rsidRPr="005F0AA6">
        <w:t>R</w:t>
      </w:r>
      <w:r>
        <w:t>ATIONALE</w:t>
      </w:r>
      <w:bookmarkEnd w:id="25"/>
    </w:p>
    <w:p w:rsidR="0017504A" w:rsidRPr="00D80C21" w:rsidRDefault="00DC6211" w:rsidP="00C37D18">
      <w:pPr>
        <w:pStyle w:val="generalparagraph"/>
      </w:pPr>
      <w:r w:rsidRPr="00D80C21">
        <w:t>There is good reason for MOHP to</w:t>
      </w:r>
      <w:r w:rsidR="002D45D4" w:rsidRPr="00D80C21">
        <w:t xml:space="preserve"> focus on integrated practices for tamariki </w:t>
      </w:r>
      <w:r w:rsidR="00DF6FA7" w:rsidRPr="00D80C21">
        <w:t>Māori</w:t>
      </w:r>
      <w:r w:rsidR="00261815">
        <w:t>.</w:t>
      </w:r>
      <w:r w:rsidR="002D45D4" w:rsidRPr="00D80C21">
        <w:t xml:space="preserve"> </w:t>
      </w:r>
      <w:r w:rsidR="00DF6FA7" w:rsidRPr="00D80C21">
        <w:t>Māori</w:t>
      </w:r>
      <w:r w:rsidR="002D45D4" w:rsidRPr="00D80C21">
        <w:t xml:space="preserve"> children are almost twice </w:t>
      </w:r>
      <w:r w:rsidR="00557839" w:rsidRPr="00D80C21">
        <w:t>as likely to be hospitalised as</w:t>
      </w:r>
      <w:r w:rsidR="002D45D4" w:rsidRPr="00D80C21">
        <w:t xml:space="preserve"> non-</w:t>
      </w:r>
      <w:r w:rsidR="00DF6FA7" w:rsidRPr="00D80C21">
        <w:t>Māori</w:t>
      </w:r>
      <w:r w:rsidR="002D45D4" w:rsidRPr="00D80C21">
        <w:t xml:space="preserve"> children</w:t>
      </w:r>
      <w:r w:rsidRPr="00D80C21">
        <w:t xml:space="preserve"> </w:t>
      </w:r>
      <w:r w:rsidR="002D45D4" w:rsidRPr="00D80C21">
        <w:t>for avoidable illness</w:t>
      </w:r>
      <w:r w:rsidRPr="00D80C21">
        <w:t xml:space="preserve"> such as respiratory disease</w:t>
      </w:r>
      <w:r w:rsidR="00B04094" w:rsidRPr="00D80C21">
        <w:t xml:space="preserve"> and</w:t>
      </w:r>
      <w:r w:rsidRPr="00D80C21">
        <w:t xml:space="preserve"> skin infections</w:t>
      </w:r>
      <w:r w:rsidR="00E3338B" w:rsidRPr="00D80C21">
        <w:t>,</w:t>
      </w:r>
      <w:r w:rsidR="002D45D4" w:rsidRPr="00D80C21">
        <w:t xml:space="preserve"> and are more likely to experience poorer health outcomes than other c</w:t>
      </w:r>
      <w:r w:rsidR="00C903CD">
        <w:t>hildren (Ministry of Health</w:t>
      </w:r>
      <w:r w:rsidR="002D45D4" w:rsidRPr="00D80C21">
        <w:t>, 2012</w:t>
      </w:r>
      <w:r w:rsidR="001C0E0F">
        <w:t>a</w:t>
      </w:r>
      <w:r w:rsidR="00261815">
        <w:t>).</w:t>
      </w:r>
      <w:r w:rsidR="002D45D4" w:rsidRPr="00D80C21">
        <w:t xml:space="preserve"> </w:t>
      </w:r>
      <w:r w:rsidRPr="00D80C21">
        <w:t>But, despite this</w:t>
      </w:r>
      <w:r w:rsidR="002D45D4" w:rsidRPr="00D80C21">
        <w:t xml:space="preserve"> higher level of health need, a significant amount of </w:t>
      </w:r>
      <w:r w:rsidR="00C903CD">
        <w:t xml:space="preserve">need for health care </w:t>
      </w:r>
      <w:r w:rsidR="002D45D4" w:rsidRPr="00D80C21">
        <w:t xml:space="preserve">among </w:t>
      </w:r>
      <w:r w:rsidRPr="00D80C21">
        <w:t>t</w:t>
      </w:r>
      <w:r w:rsidR="00A5321C" w:rsidRPr="00D80C21">
        <w:t>a</w:t>
      </w:r>
      <w:r w:rsidRPr="00D80C21">
        <w:t xml:space="preserve">mariki </w:t>
      </w:r>
      <w:r w:rsidR="00DF6FA7" w:rsidRPr="00D80C21">
        <w:t>Māori</w:t>
      </w:r>
      <w:r w:rsidR="00C903CD">
        <w:t xml:space="preserve"> remains unmet</w:t>
      </w:r>
      <w:r w:rsidR="002D45D4" w:rsidRPr="00D80C21">
        <w:t xml:space="preserve">.    </w:t>
      </w:r>
    </w:p>
    <w:p w:rsidR="0017504A" w:rsidRPr="00D80C21" w:rsidRDefault="002D45D4" w:rsidP="00C37D18">
      <w:pPr>
        <w:pStyle w:val="generalparagraph"/>
      </w:pPr>
      <w:r w:rsidRPr="00D80C21">
        <w:t xml:space="preserve">The NZ Health Survey reported that 28% of tamariki </w:t>
      </w:r>
      <w:r w:rsidR="00DF6FA7" w:rsidRPr="00D80C21">
        <w:t>Māori</w:t>
      </w:r>
      <w:r w:rsidRPr="00D80C21">
        <w:t xml:space="preserve"> had unmet need for primary health c</w:t>
      </w:r>
      <w:r w:rsidR="00261815">
        <w:t>are in the previous 12 months</w:t>
      </w:r>
      <w:r w:rsidR="00E1252A">
        <w:t xml:space="preserve"> (Ministry of Health, 2012a)</w:t>
      </w:r>
      <w:r w:rsidR="00261815">
        <w:t xml:space="preserve">. </w:t>
      </w:r>
      <w:r w:rsidRPr="00D80C21">
        <w:t xml:space="preserve">There </w:t>
      </w:r>
      <w:r w:rsidR="0002700B">
        <w:t>are</w:t>
      </w:r>
      <w:r w:rsidRPr="00D80C21">
        <w:t xml:space="preserve"> also significant levels of unmet oral health need among tamariki </w:t>
      </w:r>
      <w:r w:rsidR="0002700B">
        <w:t>Māori,</w:t>
      </w:r>
      <w:r w:rsidR="00C903CD">
        <w:t xml:space="preserve"> with 27.8% having</w:t>
      </w:r>
      <w:r w:rsidRPr="00D80C21">
        <w:t xml:space="preserve"> untreated decay in baby teeth compared to </w:t>
      </w:r>
      <w:r w:rsidR="00A5321C" w:rsidRPr="00D80C21">
        <w:t>13.5% of non-</w:t>
      </w:r>
      <w:r w:rsidR="00DF6FA7" w:rsidRPr="00D80C21">
        <w:t>Māori</w:t>
      </w:r>
      <w:r w:rsidR="00C903CD">
        <w:t xml:space="preserve"> children (Ministry of Health</w:t>
      </w:r>
      <w:r w:rsidRPr="00D80C21">
        <w:t>, 2012</w:t>
      </w:r>
      <w:r w:rsidR="001C0E0F">
        <w:t>a</w:t>
      </w:r>
      <w:r w:rsidR="00261815">
        <w:t>).</w:t>
      </w:r>
      <w:r w:rsidRPr="00D80C21">
        <w:t xml:space="preserve"> In children aged between 1 to 4 years</w:t>
      </w:r>
      <w:r w:rsidR="00C903CD">
        <w:t>,</w:t>
      </w:r>
      <w:r w:rsidRPr="00D80C21">
        <w:t xml:space="preserve"> only 52% had visited a dental health care worker in the past year.</w:t>
      </w:r>
      <w:r w:rsidR="00B142D4">
        <w:t xml:space="preserve"> The government is also shining a light on children at risk of harm, neglect and abuse</w:t>
      </w:r>
      <w:r w:rsidR="000774C8">
        <w:t>. Tamariki M</w:t>
      </w:r>
      <w:r w:rsidR="0002700B">
        <w:t>ā</w:t>
      </w:r>
      <w:r w:rsidR="000774C8">
        <w:t xml:space="preserve">ori are at greater risk of harm, neglect, and abuse (MSD, 2012). </w:t>
      </w:r>
      <w:r w:rsidR="000774C8" w:rsidRPr="00445770">
        <w:t>Throug</w:t>
      </w:r>
      <w:r w:rsidR="00B142D4" w:rsidRPr="00445770">
        <w:t>h the White Paper</w:t>
      </w:r>
      <w:r w:rsidR="000774C8" w:rsidRPr="00445770">
        <w:t>, the government is investing in a range of mechanisms to protect vulnerable children</w:t>
      </w:r>
      <w:r w:rsidR="0098188D" w:rsidRPr="00445770">
        <w:t>. P</w:t>
      </w:r>
      <w:r w:rsidR="00E04764" w:rsidRPr="00445770">
        <w:t xml:space="preserve">art of the approach is a </w:t>
      </w:r>
      <w:r w:rsidR="000774C8" w:rsidRPr="00445770">
        <w:t>greater responsibility on people and organisations working with children to identify and respond to the needs of vulnerable children early (MSD, 2012).</w:t>
      </w:r>
      <w:r w:rsidR="000774C8">
        <w:t xml:space="preserve">  </w:t>
      </w:r>
    </w:p>
    <w:p w:rsidR="0017504A" w:rsidRPr="00D80C21" w:rsidRDefault="00CB1A93" w:rsidP="00C37D18">
      <w:pPr>
        <w:pStyle w:val="generalparagraph"/>
      </w:pPr>
      <w:r w:rsidRPr="00D80C21">
        <w:t>There are opportunities and obligations for both primary care and oral health providers to contribute toward effort</w:t>
      </w:r>
      <w:r w:rsidR="001C0E0F">
        <w:t>s to intervene and reverse these disparities</w:t>
      </w:r>
      <w:r w:rsidRPr="00D80C21">
        <w:t xml:space="preserve">. </w:t>
      </w:r>
      <w:r w:rsidR="00D96891" w:rsidRPr="00D80C21">
        <w:t>MOHP</w:t>
      </w:r>
      <w:r w:rsidR="002802D9" w:rsidRPr="00D80C21">
        <w:t>s</w:t>
      </w:r>
      <w:r w:rsidR="00D96891" w:rsidRPr="00D80C21">
        <w:t xml:space="preserve"> will connect with primary health</w:t>
      </w:r>
      <w:r w:rsidR="00C903CD">
        <w:t xml:space="preserve"> care </w:t>
      </w:r>
      <w:r w:rsidR="001C0E0F">
        <w:t xml:space="preserve">services and </w:t>
      </w:r>
      <w:r w:rsidR="00D96891" w:rsidRPr="00D80C21">
        <w:t>Well Child Tamariki Ora services to work in a collaborative and coordinated way to ensure wh</w:t>
      </w:r>
      <w:r w:rsidR="0002700B">
        <w:t>ā</w:t>
      </w:r>
      <w:r w:rsidR="00D96891" w:rsidRPr="00D80C21">
        <w:t>nau have the right information</w:t>
      </w:r>
      <w:r w:rsidR="002802D9" w:rsidRPr="00D80C21">
        <w:t xml:space="preserve"> </w:t>
      </w:r>
      <w:r w:rsidR="00D96891" w:rsidRPr="00D80C21">
        <w:t>to make informed decisions abo</w:t>
      </w:r>
      <w:r w:rsidR="00261815">
        <w:t>ut health care for their child.</w:t>
      </w:r>
      <w:r w:rsidR="00D96891" w:rsidRPr="00D80C21">
        <w:t xml:space="preserve"> Both professions</w:t>
      </w:r>
      <w:r w:rsidR="00197FC0" w:rsidRPr="00D80C21">
        <w:t>, dental and primary care,</w:t>
      </w:r>
      <w:r w:rsidR="00D96891" w:rsidRPr="00D80C21">
        <w:t xml:space="preserve"> have the opportunity to </w:t>
      </w:r>
      <w:r w:rsidR="002D45D4" w:rsidRPr="00C903CD">
        <w:rPr>
          <w:b/>
          <w:i/>
        </w:rPr>
        <w:t>check</w:t>
      </w:r>
      <w:r w:rsidR="002D45D4" w:rsidRPr="00D80C21">
        <w:t xml:space="preserve">, </w:t>
      </w:r>
      <w:r w:rsidR="002D45D4" w:rsidRPr="00C903CD">
        <w:rPr>
          <w:b/>
          <w:i/>
        </w:rPr>
        <w:t>connect</w:t>
      </w:r>
      <w:r w:rsidR="002D45D4" w:rsidRPr="00D80C21">
        <w:t xml:space="preserve">, and </w:t>
      </w:r>
      <w:r w:rsidR="002D45D4" w:rsidRPr="00C903CD">
        <w:rPr>
          <w:b/>
          <w:i/>
        </w:rPr>
        <w:t>organise care</w:t>
      </w:r>
      <w:r w:rsidR="002D45D4" w:rsidRPr="00D80C21">
        <w:t xml:space="preserve"> </w:t>
      </w:r>
      <w:r w:rsidR="00D96891" w:rsidRPr="00D80C21">
        <w:t xml:space="preserve">for tamariki with unmet needs. </w:t>
      </w:r>
    </w:p>
    <w:p w:rsidR="0017504A" w:rsidRPr="00D80C21" w:rsidRDefault="00CB1A93" w:rsidP="00C37D18">
      <w:pPr>
        <w:pStyle w:val="generalparagraph"/>
      </w:pPr>
      <w:r w:rsidRPr="00D80C21">
        <w:t>The burden of avoidable disease and</w:t>
      </w:r>
      <w:r w:rsidR="00C903CD">
        <w:t xml:space="preserve"> ill-health on a child and its</w:t>
      </w:r>
      <w:r w:rsidRPr="00D80C21">
        <w:t xml:space="preserve"> wh</w:t>
      </w:r>
      <w:r w:rsidR="0002700B">
        <w:t>ā</w:t>
      </w:r>
      <w:r w:rsidRPr="00D80C21">
        <w:t>nau can imp</w:t>
      </w:r>
      <w:r w:rsidR="00C903CD">
        <w:t xml:space="preserve">act on the child’s learning, </w:t>
      </w:r>
      <w:r w:rsidRPr="00D80C21">
        <w:t>school attendance, parental work obligations, financial pressures, as well as the stress of car</w:t>
      </w:r>
      <w:r w:rsidR="00261815">
        <w:t>ing for a child that is unwell.</w:t>
      </w:r>
      <w:r w:rsidRPr="00D80C21">
        <w:t xml:space="preserve"> </w:t>
      </w:r>
      <w:r w:rsidR="00D96891" w:rsidRPr="00D80C21">
        <w:t>Particular emphasis is placed on those tamariki eligible for B4 School checks</w:t>
      </w:r>
      <w:r w:rsidR="006A6966" w:rsidRPr="00D80C21">
        <w:t xml:space="preserve"> to minimise the impact of poor health on learning outcomes</w:t>
      </w:r>
      <w:r w:rsidR="00261815">
        <w:t>.</w:t>
      </w:r>
      <w:r w:rsidR="00D96891" w:rsidRPr="00D80C21">
        <w:t xml:space="preserve"> </w:t>
      </w:r>
      <w:r w:rsidR="002D45D4" w:rsidRPr="00D80C21">
        <w:t xml:space="preserve">Interventions </w:t>
      </w:r>
      <w:r w:rsidR="006C787F" w:rsidRPr="00D80C21">
        <w:t xml:space="preserve">and new ways of doing things are needed </w:t>
      </w:r>
      <w:r w:rsidR="00D96891" w:rsidRPr="00D80C21">
        <w:t xml:space="preserve">to address and improve </w:t>
      </w:r>
      <w:r w:rsidR="002D45D4" w:rsidRPr="00D80C21">
        <w:t xml:space="preserve">oral health </w:t>
      </w:r>
      <w:r w:rsidR="006C787F" w:rsidRPr="00D80C21">
        <w:t>for</w:t>
      </w:r>
      <w:r w:rsidR="002D45D4" w:rsidRPr="00D80C21">
        <w:t xml:space="preserve"> tamariki </w:t>
      </w:r>
      <w:r w:rsidR="00DF6FA7" w:rsidRPr="00D80C21">
        <w:t>Māori</w:t>
      </w:r>
      <w:r w:rsidR="002D45D4" w:rsidRPr="00D80C21">
        <w:t>, and vulnerable tamariki</w:t>
      </w:r>
      <w:r w:rsidRPr="00D80C21">
        <w:t xml:space="preserve">.  </w:t>
      </w:r>
    </w:p>
    <w:p w:rsidR="0017504A" w:rsidRPr="00D80C21" w:rsidRDefault="00CB1A93" w:rsidP="00C37D18">
      <w:pPr>
        <w:pStyle w:val="generalparagraph"/>
      </w:pPr>
      <w:r w:rsidRPr="00D80C21">
        <w:t xml:space="preserve">Integrated practices </w:t>
      </w:r>
      <w:r w:rsidR="006C787F" w:rsidRPr="00D80C21">
        <w:t xml:space="preserve">between MOHP and primary care </w:t>
      </w:r>
      <w:r w:rsidRPr="00D80C21">
        <w:t>will maxi</w:t>
      </w:r>
      <w:r w:rsidR="006847C6" w:rsidRPr="00D80C21">
        <w:t>mise opportunities to ensure</w:t>
      </w:r>
      <w:r w:rsidRPr="00D80C21">
        <w:t xml:space="preserve"> tamariki and their wh</w:t>
      </w:r>
      <w:r w:rsidR="0002700B">
        <w:t>ā</w:t>
      </w:r>
      <w:r w:rsidRPr="00D80C21">
        <w:t xml:space="preserve">nau </w:t>
      </w:r>
      <w:r w:rsidR="006847C6" w:rsidRPr="00D80C21">
        <w:t xml:space="preserve">are connected </w:t>
      </w:r>
      <w:r w:rsidRPr="00D80C21">
        <w:t>to health services</w:t>
      </w:r>
      <w:r w:rsidR="00F13BFC">
        <w:t>, and</w:t>
      </w:r>
      <w:r w:rsidR="006847C6" w:rsidRPr="00D80C21">
        <w:t xml:space="preserve"> address and</w:t>
      </w:r>
      <w:r w:rsidRPr="00D80C21">
        <w:t xml:space="preserve"> prevent oral healt</w:t>
      </w:r>
      <w:r w:rsidR="00F13BFC">
        <w:t xml:space="preserve">h disease and other avoidable </w:t>
      </w:r>
      <w:r w:rsidRPr="00D80C21">
        <w:t>child h</w:t>
      </w:r>
      <w:r w:rsidR="00261815">
        <w:t>ealth illnesses.</w:t>
      </w:r>
      <w:r w:rsidRPr="00D80C21">
        <w:t xml:space="preserve"> This </w:t>
      </w:r>
      <w:r w:rsidR="00A5321C" w:rsidRPr="001C0E0F">
        <w:rPr>
          <w:i/>
        </w:rPr>
        <w:t>ara tika</w:t>
      </w:r>
      <w:r w:rsidR="00A5321C" w:rsidRPr="00D80C21">
        <w:t xml:space="preserve"> (</w:t>
      </w:r>
      <w:r w:rsidRPr="00D80C21">
        <w:t>pathway</w:t>
      </w:r>
      <w:r w:rsidR="00A5321C" w:rsidRPr="00D80C21">
        <w:t>)</w:t>
      </w:r>
      <w:r w:rsidRPr="00D80C21">
        <w:t xml:space="preserve"> acknowledges the importance of healthy tamariki</w:t>
      </w:r>
      <w:r w:rsidR="00261815">
        <w:t xml:space="preserve"> in </w:t>
      </w:r>
      <w:r w:rsidR="00845900">
        <w:t xml:space="preserve">the </w:t>
      </w:r>
      <w:r w:rsidR="00261815">
        <w:t>context of healthy wh</w:t>
      </w:r>
      <w:r w:rsidR="0002700B">
        <w:t>ā</w:t>
      </w:r>
      <w:r w:rsidR="00261815">
        <w:t xml:space="preserve">nau. </w:t>
      </w:r>
      <w:r w:rsidRPr="00D80C21">
        <w:t>Pregnancy and the first years of life are cr</w:t>
      </w:r>
      <w:r w:rsidR="00845900">
        <w:t>itical stages in the life cycle, so</w:t>
      </w:r>
      <w:r w:rsidRPr="00D80C21">
        <w:t xml:space="preserve"> </w:t>
      </w:r>
      <w:r w:rsidR="00E3338B" w:rsidRPr="00D80C21">
        <w:t xml:space="preserve">opportunities to inform and connect pregnant women and </w:t>
      </w:r>
      <w:r w:rsidR="00845900">
        <w:t>new mothers to child health services</w:t>
      </w:r>
      <w:r w:rsidR="00E3338B" w:rsidRPr="00D80C21">
        <w:t xml:space="preserve"> are</w:t>
      </w:r>
      <w:r w:rsidRPr="00D80C21">
        <w:t xml:space="preserve"> a priority</w:t>
      </w:r>
      <w:r w:rsidR="006C787F" w:rsidRPr="00D80C21">
        <w:t>.</w:t>
      </w:r>
      <w:r w:rsidRPr="00D80C21">
        <w:t xml:space="preserve"> </w:t>
      </w:r>
    </w:p>
    <w:p w:rsidR="00261815" w:rsidRPr="00C37D18" w:rsidRDefault="006A6966" w:rsidP="00C37D18">
      <w:pPr>
        <w:pStyle w:val="generalparagraph"/>
      </w:pPr>
      <w:r w:rsidRPr="00D80C21">
        <w:t>Working in an integrated way to respond to the oral health and general health needs of</w:t>
      </w:r>
      <w:r w:rsidR="00553F16" w:rsidRPr="00D80C21">
        <w:t xml:space="preserve"> tamariki will go a long way to achieve good health outcomes over the long te</w:t>
      </w:r>
      <w:r w:rsidR="00080DCE">
        <w:t>rm, and contribute to healthier and happier</w:t>
      </w:r>
      <w:r w:rsidR="00553F16" w:rsidRPr="00D80C21">
        <w:t xml:space="preserve"> tamariki. </w:t>
      </w:r>
    </w:p>
    <w:p w:rsidR="00F8742A" w:rsidRDefault="00F8742A">
      <w:pPr>
        <w:rPr>
          <w:rFonts w:asciiTheme="minorHAnsi" w:eastAsia="Arial Unicode MS" w:hAnsiTheme="minorHAnsi" w:cstheme="minorHAnsi"/>
          <w:b/>
          <w:bCs/>
          <w:kern w:val="32"/>
          <w:sz w:val="28"/>
          <w:szCs w:val="28"/>
          <w:lang w:val="en-AU"/>
        </w:rPr>
      </w:pPr>
      <w:bookmarkStart w:id="26" w:name="_Toc473485928"/>
      <w:r>
        <w:br w:type="page"/>
      </w:r>
    </w:p>
    <w:p w:rsidR="00197FC0" w:rsidRDefault="00197FC0" w:rsidP="00DA6437">
      <w:pPr>
        <w:pStyle w:val="generalsubheading"/>
      </w:pPr>
      <w:r w:rsidRPr="005F0AA6">
        <w:lastRenderedPageBreak/>
        <w:t>I</w:t>
      </w:r>
      <w:r>
        <w:t>NTEGRATED PRACTICES</w:t>
      </w:r>
      <w:bookmarkEnd w:id="26"/>
    </w:p>
    <w:p w:rsidR="002E7621" w:rsidRPr="005C3C2C" w:rsidRDefault="002E7621" w:rsidP="005C3C2C"/>
    <w:tbl>
      <w:tblPr>
        <w:tblW w:w="9464"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ook w:val="04A0" w:firstRow="1" w:lastRow="0" w:firstColumn="1" w:lastColumn="0" w:noHBand="0" w:noVBand="1"/>
      </w:tblPr>
      <w:tblGrid>
        <w:gridCol w:w="9464"/>
      </w:tblGrid>
      <w:tr w:rsidR="002E7621" w:rsidRPr="005F0AA6" w:rsidTr="008F3862">
        <w:trPr>
          <w:trHeight w:val="414"/>
        </w:trPr>
        <w:tc>
          <w:tcPr>
            <w:tcW w:w="9464" w:type="dxa"/>
            <w:tcBorders>
              <w:top w:val="single" w:sz="4" w:space="0" w:color="42D0B8"/>
              <w:left w:val="single" w:sz="4" w:space="0" w:color="42D0B8"/>
              <w:bottom w:val="single" w:sz="4" w:space="0" w:color="42D0B8"/>
              <w:right w:val="single" w:sz="4" w:space="0" w:color="42D0B8"/>
            </w:tcBorders>
            <w:shd w:val="clear" w:color="auto" w:fill="42D0B8"/>
          </w:tcPr>
          <w:p w:rsidR="002E7621" w:rsidRPr="002E7621" w:rsidRDefault="002E7621" w:rsidP="00D57B50">
            <w:pPr>
              <w:spacing w:before="120" w:after="120"/>
              <w:jc w:val="both"/>
              <w:rPr>
                <w:rFonts w:asciiTheme="minorHAnsi" w:eastAsia="Arial Unicode MS" w:hAnsiTheme="minorHAnsi" w:cstheme="minorHAnsi"/>
                <w:b/>
                <w:color w:val="FFFFFF" w:themeColor="background1"/>
                <w:sz w:val="22"/>
                <w:szCs w:val="22"/>
              </w:rPr>
            </w:pPr>
            <w:r w:rsidRPr="002E7621">
              <w:rPr>
                <w:rFonts w:asciiTheme="minorHAnsi" w:eastAsia="Arial Unicode MS" w:hAnsiTheme="minorHAnsi" w:cstheme="minorHAnsi"/>
                <w:b/>
                <w:color w:val="FFFFFF" w:themeColor="background1"/>
                <w:sz w:val="22"/>
                <w:szCs w:val="22"/>
              </w:rPr>
              <w:t>KEY POINTS</w:t>
            </w:r>
          </w:p>
        </w:tc>
      </w:tr>
      <w:tr w:rsidR="00F55CE8" w:rsidRPr="005F0AA6" w:rsidTr="008F3862">
        <w:tc>
          <w:tcPr>
            <w:tcW w:w="9464" w:type="dxa"/>
            <w:tcBorders>
              <w:top w:val="single" w:sz="4" w:space="0" w:color="42D0B8"/>
              <w:left w:val="single" w:sz="4" w:space="0" w:color="42D0B8"/>
              <w:bottom w:val="single" w:sz="4" w:space="0" w:color="42D0B8"/>
              <w:right w:val="single" w:sz="4" w:space="0" w:color="42D0B8"/>
            </w:tcBorders>
            <w:shd w:val="clear" w:color="auto" w:fill="auto"/>
          </w:tcPr>
          <w:p w:rsidR="0017504A" w:rsidRPr="002E7621" w:rsidRDefault="002D45D4" w:rsidP="002D3B17">
            <w:pPr>
              <w:pStyle w:val="ListParagraph"/>
              <w:numPr>
                <w:ilvl w:val="0"/>
                <w:numId w:val="26"/>
              </w:numPr>
              <w:spacing w:before="60" w:after="0" w:line="240" w:lineRule="auto"/>
              <w:ind w:left="426" w:hanging="284"/>
              <w:contextualSpacing w:val="0"/>
              <w:jc w:val="both"/>
              <w:rPr>
                <w:rFonts w:asciiTheme="minorHAnsi" w:eastAsia="Arial Unicode MS" w:hAnsiTheme="minorHAnsi" w:cstheme="minorHAnsi"/>
              </w:rPr>
            </w:pPr>
            <w:r w:rsidRPr="002E7621">
              <w:rPr>
                <w:rFonts w:asciiTheme="minorHAnsi" w:eastAsia="Arial Unicode MS" w:hAnsiTheme="minorHAnsi" w:cstheme="minorHAnsi"/>
              </w:rPr>
              <w:t>0 – 2 year olds are</w:t>
            </w:r>
            <w:r w:rsidR="004507BF" w:rsidRPr="002E7621">
              <w:rPr>
                <w:rFonts w:asciiTheme="minorHAnsi" w:eastAsia="Arial Unicode MS" w:hAnsiTheme="minorHAnsi" w:cstheme="minorHAnsi"/>
              </w:rPr>
              <w:t xml:space="preserve"> a priority</w:t>
            </w:r>
            <w:r w:rsidRPr="002E7621">
              <w:rPr>
                <w:rFonts w:asciiTheme="minorHAnsi" w:eastAsia="Arial Unicode MS" w:hAnsiTheme="minorHAnsi" w:cstheme="minorHAnsi"/>
              </w:rPr>
              <w:t xml:space="preserve">, particularly tamariki </w:t>
            </w:r>
            <w:r w:rsidR="00DF6FA7" w:rsidRPr="002E7621">
              <w:rPr>
                <w:rFonts w:asciiTheme="minorHAnsi" w:eastAsia="Arial Unicode MS" w:hAnsiTheme="minorHAnsi" w:cstheme="minorHAnsi"/>
              </w:rPr>
              <w:t>Māori</w:t>
            </w:r>
            <w:r w:rsidR="00736CEB" w:rsidRPr="002E7621">
              <w:rPr>
                <w:rFonts w:asciiTheme="minorHAnsi" w:eastAsia="Arial Unicode MS" w:hAnsiTheme="minorHAnsi" w:cstheme="minorHAnsi"/>
              </w:rPr>
              <w:t xml:space="preserve"> and vulnerable children</w:t>
            </w:r>
          </w:p>
          <w:p w:rsidR="0017504A" w:rsidRPr="002E7621" w:rsidRDefault="002D45D4" w:rsidP="002D3B17">
            <w:pPr>
              <w:pStyle w:val="ListParagraph"/>
              <w:numPr>
                <w:ilvl w:val="0"/>
                <w:numId w:val="26"/>
              </w:numPr>
              <w:spacing w:before="60" w:after="0" w:line="240" w:lineRule="auto"/>
              <w:ind w:left="426" w:hanging="284"/>
              <w:contextualSpacing w:val="0"/>
              <w:jc w:val="both"/>
              <w:rPr>
                <w:rFonts w:asciiTheme="minorHAnsi" w:eastAsia="Arial Unicode MS" w:hAnsiTheme="minorHAnsi" w:cstheme="minorHAnsi"/>
              </w:rPr>
            </w:pPr>
            <w:r w:rsidRPr="002E7621">
              <w:rPr>
                <w:rFonts w:asciiTheme="minorHAnsi" w:eastAsia="Arial Unicode MS" w:hAnsiTheme="minorHAnsi" w:cstheme="minorHAnsi"/>
              </w:rPr>
              <w:t>Every wh</w:t>
            </w:r>
            <w:r w:rsidR="0002700B">
              <w:rPr>
                <w:rFonts w:asciiTheme="minorHAnsi" w:eastAsia="Arial Unicode MS" w:hAnsiTheme="minorHAnsi" w:cstheme="minorHAnsi"/>
              </w:rPr>
              <w:t>ā</w:t>
            </w:r>
            <w:r w:rsidRPr="002E7621">
              <w:rPr>
                <w:rFonts w:asciiTheme="minorHAnsi" w:eastAsia="Arial Unicode MS" w:hAnsiTheme="minorHAnsi" w:cstheme="minorHAnsi"/>
              </w:rPr>
              <w:t xml:space="preserve">nau contact with primary care </w:t>
            </w:r>
            <w:r w:rsidR="002477C2" w:rsidRPr="002E7621">
              <w:rPr>
                <w:rFonts w:asciiTheme="minorHAnsi" w:eastAsia="Arial Unicode MS" w:hAnsiTheme="minorHAnsi" w:cstheme="minorHAnsi"/>
              </w:rPr>
              <w:t xml:space="preserve">and oral health services </w:t>
            </w:r>
            <w:r w:rsidRPr="002E7621">
              <w:rPr>
                <w:rFonts w:asciiTheme="minorHAnsi" w:eastAsia="Arial Unicode MS" w:hAnsiTheme="minorHAnsi" w:cstheme="minorHAnsi"/>
              </w:rPr>
              <w:t xml:space="preserve">is an opportunity to </w:t>
            </w:r>
            <w:r w:rsidR="00CA1377" w:rsidRPr="002E7621">
              <w:rPr>
                <w:rFonts w:asciiTheme="minorHAnsi" w:eastAsia="Arial Unicode MS" w:hAnsiTheme="minorHAnsi" w:cstheme="minorHAnsi"/>
              </w:rPr>
              <w:t xml:space="preserve">connect </w:t>
            </w:r>
            <w:r w:rsidR="004507BF" w:rsidRPr="002E7621">
              <w:rPr>
                <w:rFonts w:asciiTheme="minorHAnsi" w:eastAsia="Arial Unicode MS" w:hAnsiTheme="minorHAnsi" w:cstheme="minorHAnsi"/>
              </w:rPr>
              <w:t xml:space="preserve">those </w:t>
            </w:r>
            <w:r w:rsidR="0002700B">
              <w:rPr>
                <w:rFonts w:asciiTheme="minorHAnsi" w:eastAsia="Arial Unicode MS" w:hAnsiTheme="minorHAnsi" w:cstheme="minorHAnsi"/>
              </w:rPr>
              <w:t>whā</w:t>
            </w:r>
            <w:r w:rsidR="001A58AA" w:rsidRPr="002E7621">
              <w:rPr>
                <w:rFonts w:asciiTheme="minorHAnsi" w:eastAsia="Arial Unicode MS" w:hAnsiTheme="minorHAnsi" w:cstheme="minorHAnsi"/>
              </w:rPr>
              <w:t xml:space="preserve">nau </w:t>
            </w:r>
            <w:r w:rsidR="00736CEB" w:rsidRPr="002E7621">
              <w:rPr>
                <w:rFonts w:asciiTheme="minorHAnsi" w:eastAsia="Arial Unicode MS" w:hAnsiTheme="minorHAnsi" w:cstheme="minorHAnsi"/>
              </w:rPr>
              <w:t xml:space="preserve">to </w:t>
            </w:r>
            <w:r w:rsidR="004507BF" w:rsidRPr="002E7621">
              <w:rPr>
                <w:rFonts w:asciiTheme="minorHAnsi" w:eastAsia="Arial Unicode MS" w:hAnsiTheme="minorHAnsi" w:cstheme="minorHAnsi"/>
              </w:rPr>
              <w:t xml:space="preserve">other </w:t>
            </w:r>
            <w:r w:rsidR="001A58AA" w:rsidRPr="002E7621">
              <w:rPr>
                <w:rFonts w:asciiTheme="minorHAnsi" w:eastAsia="Arial Unicode MS" w:hAnsiTheme="minorHAnsi" w:cstheme="minorHAnsi"/>
              </w:rPr>
              <w:t xml:space="preserve">needed </w:t>
            </w:r>
            <w:r w:rsidR="00736CEB" w:rsidRPr="002E7621">
              <w:rPr>
                <w:rFonts w:asciiTheme="minorHAnsi" w:eastAsia="Arial Unicode MS" w:hAnsiTheme="minorHAnsi" w:cstheme="minorHAnsi"/>
              </w:rPr>
              <w:t>health services</w:t>
            </w:r>
          </w:p>
          <w:p w:rsidR="0017504A" w:rsidRPr="002E7621" w:rsidRDefault="002D45D4" w:rsidP="002D3B17">
            <w:pPr>
              <w:pStyle w:val="ListParagraph"/>
              <w:numPr>
                <w:ilvl w:val="0"/>
                <w:numId w:val="26"/>
              </w:numPr>
              <w:spacing w:before="60" w:after="0" w:line="240" w:lineRule="auto"/>
              <w:ind w:left="426" w:hanging="284"/>
              <w:contextualSpacing w:val="0"/>
              <w:jc w:val="both"/>
              <w:rPr>
                <w:rFonts w:asciiTheme="minorHAnsi" w:eastAsia="Arial Unicode MS" w:hAnsiTheme="minorHAnsi" w:cstheme="minorHAnsi"/>
              </w:rPr>
            </w:pPr>
            <w:r w:rsidRPr="002E7621">
              <w:rPr>
                <w:rFonts w:asciiTheme="minorHAnsi" w:eastAsia="Arial Unicode MS" w:hAnsiTheme="minorHAnsi" w:cstheme="minorHAnsi"/>
              </w:rPr>
              <w:t>It is better to keep people from falling ill than to treat them once they are ill (WHO)</w:t>
            </w:r>
          </w:p>
          <w:p w:rsidR="000F296F" w:rsidRDefault="002D45D4" w:rsidP="002D3B17">
            <w:pPr>
              <w:pStyle w:val="ListParagraph"/>
              <w:numPr>
                <w:ilvl w:val="0"/>
                <w:numId w:val="26"/>
              </w:numPr>
              <w:spacing w:before="60" w:after="0" w:line="240" w:lineRule="auto"/>
              <w:ind w:left="426" w:hanging="284"/>
              <w:contextualSpacing w:val="0"/>
              <w:jc w:val="both"/>
              <w:rPr>
                <w:rFonts w:asciiTheme="minorHAnsi" w:eastAsia="Arial Unicode MS" w:hAnsiTheme="minorHAnsi" w:cstheme="minorHAnsi"/>
              </w:rPr>
            </w:pPr>
            <w:r w:rsidRPr="002E7621">
              <w:rPr>
                <w:rFonts w:asciiTheme="minorHAnsi" w:eastAsia="Arial Unicode MS" w:hAnsiTheme="minorHAnsi" w:cstheme="minorHAnsi"/>
              </w:rPr>
              <w:t>Take responsibility for helping the child, not just treating the complaint</w:t>
            </w:r>
            <w:r w:rsidR="004972BE" w:rsidRPr="002E7621">
              <w:rPr>
                <w:rFonts w:asciiTheme="minorHAnsi" w:eastAsia="Arial Unicode MS" w:hAnsiTheme="minorHAnsi" w:cstheme="minorHAnsi"/>
              </w:rPr>
              <w:t xml:space="preserve"> in your area of expertise</w:t>
            </w:r>
          </w:p>
          <w:p w:rsidR="000F296F" w:rsidRDefault="002D45D4" w:rsidP="002D3B17">
            <w:pPr>
              <w:pStyle w:val="ListParagraph"/>
              <w:numPr>
                <w:ilvl w:val="0"/>
                <w:numId w:val="26"/>
              </w:numPr>
              <w:spacing w:before="60" w:after="0" w:line="240" w:lineRule="auto"/>
              <w:ind w:left="426" w:hanging="284"/>
              <w:contextualSpacing w:val="0"/>
              <w:jc w:val="both"/>
              <w:rPr>
                <w:rFonts w:asciiTheme="minorHAnsi" w:eastAsia="Arial Unicode MS" w:hAnsiTheme="minorHAnsi" w:cstheme="minorHAnsi"/>
              </w:rPr>
            </w:pPr>
            <w:r w:rsidRPr="002E7621">
              <w:rPr>
                <w:rFonts w:asciiTheme="minorHAnsi" w:eastAsia="Arial Unicode MS" w:hAnsiTheme="minorHAnsi" w:cstheme="minorHAnsi"/>
              </w:rPr>
              <w:t xml:space="preserve">General and oral health practitioners need to be able to identify and meet </w:t>
            </w:r>
            <w:r w:rsidR="00080DCE">
              <w:rPr>
                <w:rFonts w:asciiTheme="minorHAnsi" w:eastAsia="Arial Unicode MS" w:hAnsiTheme="minorHAnsi" w:cstheme="minorHAnsi"/>
              </w:rPr>
              <w:t>the needs of vulnerable tamariki</w:t>
            </w:r>
          </w:p>
          <w:p w:rsidR="00D84750" w:rsidRPr="00D84750" w:rsidRDefault="002D45D4" w:rsidP="002D3B17">
            <w:pPr>
              <w:pStyle w:val="ListParagraph"/>
              <w:numPr>
                <w:ilvl w:val="0"/>
                <w:numId w:val="26"/>
              </w:numPr>
              <w:spacing w:before="60" w:after="0" w:line="240" w:lineRule="auto"/>
              <w:ind w:left="426" w:hanging="284"/>
              <w:contextualSpacing w:val="0"/>
              <w:jc w:val="both"/>
              <w:rPr>
                <w:rFonts w:asciiTheme="minorHAnsi" w:eastAsia="Arial Unicode MS" w:hAnsiTheme="minorHAnsi" w:cstheme="minorHAnsi"/>
              </w:rPr>
            </w:pPr>
            <w:r w:rsidRPr="002E7621">
              <w:rPr>
                <w:rFonts w:asciiTheme="minorHAnsi" w:eastAsia="Arial Unicode MS" w:hAnsiTheme="minorHAnsi" w:cstheme="minorHAnsi"/>
              </w:rPr>
              <w:t xml:space="preserve">Factors that influence child vulnerability include not having their basic emotional, physical, social, developmental and/or cultural needs met at home or in their wider community </w:t>
            </w:r>
            <w:r w:rsidR="00080DCE">
              <w:rPr>
                <w:rFonts w:asciiTheme="minorHAnsi" w:eastAsia="Arial Unicode MS" w:hAnsiTheme="minorHAnsi" w:cstheme="minorHAnsi"/>
              </w:rPr>
              <w:t>(MSD</w:t>
            </w:r>
            <w:r w:rsidRPr="002E7621">
              <w:rPr>
                <w:rFonts w:asciiTheme="minorHAnsi" w:eastAsia="Arial Unicode MS" w:hAnsiTheme="minorHAnsi" w:cstheme="minorHAnsi"/>
              </w:rPr>
              <w:t>, 2012)</w:t>
            </w:r>
          </w:p>
          <w:p w:rsidR="00D84750" w:rsidRPr="00D84750" w:rsidRDefault="001B5DBD" w:rsidP="002D3B17">
            <w:pPr>
              <w:pStyle w:val="ListParagraph"/>
              <w:numPr>
                <w:ilvl w:val="0"/>
                <w:numId w:val="26"/>
              </w:numPr>
              <w:spacing w:before="60" w:after="60" w:line="240" w:lineRule="auto"/>
              <w:ind w:left="426" w:hanging="284"/>
              <w:contextualSpacing w:val="0"/>
              <w:jc w:val="both"/>
              <w:rPr>
                <w:rFonts w:asciiTheme="minorHAnsi" w:eastAsia="Arial Unicode MS" w:hAnsiTheme="minorHAnsi" w:cstheme="minorHAnsi"/>
              </w:rPr>
            </w:pPr>
            <w:r w:rsidRPr="002E7621">
              <w:rPr>
                <w:rFonts w:asciiTheme="minorHAnsi" w:eastAsia="Arial Unicode MS" w:hAnsiTheme="minorHAnsi" w:cstheme="minorHAnsi"/>
              </w:rPr>
              <w:t>Oral h</w:t>
            </w:r>
            <w:r w:rsidR="007D1DA7">
              <w:rPr>
                <w:rFonts w:asciiTheme="minorHAnsi" w:eastAsia="Arial Unicode MS" w:hAnsiTheme="minorHAnsi" w:cstheme="minorHAnsi"/>
              </w:rPr>
              <w:t xml:space="preserve">ealth practitioners can </w:t>
            </w:r>
            <w:r w:rsidR="00080DCE">
              <w:rPr>
                <w:rFonts w:asciiTheme="minorHAnsi" w:eastAsia="Arial Unicode MS" w:hAnsiTheme="minorHAnsi" w:cstheme="minorHAnsi"/>
              </w:rPr>
              <w:t>contribute to ensuring tamariki</w:t>
            </w:r>
            <w:r w:rsidRPr="002E7621">
              <w:rPr>
                <w:rFonts w:asciiTheme="minorHAnsi" w:eastAsia="Arial Unicode MS" w:hAnsiTheme="minorHAnsi" w:cstheme="minorHAnsi"/>
              </w:rPr>
              <w:t xml:space="preserve"> in their community are fully immunised</w:t>
            </w:r>
          </w:p>
        </w:tc>
      </w:tr>
      <w:tr w:rsidR="002E7621" w:rsidRPr="005F0AA6" w:rsidTr="008F3862">
        <w:trPr>
          <w:trHeight w:val="414"/>
        </w:trPr>
        <w:tc>
          <w:tcPr>
            <w:tcW w:w="9464" w:type="dxa"/>
            <w:tcBorders>
              <w:top w:val="single" w:sz="4" w:space="0" w:color="42D0B8"/>
              <w:left w:val="single" w:sz="4" w:space="0" w:color="42D0B8"/>
              <w:bottom w:val="single" w:sz="4" w:space="0" w:color="42D0B8"/>
              <w:right w:val="single" w:sz="4" w:space="0" w:color="42D0B8"/>
            </w:tcBorders>
            <w:shd w:val="clear" w:color="auto" w:fill="42D0B8"/>
          </w:tcPr>
          <w:p w:rsidR="002E7621" w:rsidRPr="002E7621" w:rsidRDefault="002E7621" w:rsidP="00D57B50">
            <w:pPr>
              <w:spacing w:before="120" w:after="120"/>
              <w:jc w:val="both"/>
              <w:rPr>
                <w:rFonts w:asciiTheme="minorHAnsi" w:eastAsia="Arial Unicode MS" w:hAnsiTheme="minorHAnsi" w:cstheme="minorHAnsi"/>
                <w:b/>
                <w:color w:val="FFFFFF" w:themeColor="background1"/>
                <w:sz w:val="22"/>
                <w:szCs w:val="22"/>
              </w:rPr>
            </w:pPr>
            <w:r w:rsidRPr="002E7621">
              <w:rPr>
                <w:rFonts w:asciiTheme="minorHAnsi" w:eastAsia="Arial Unicode MS" w:hAnsiTheme="minorHAnsi" w:cstheme="minorHAnsi"/>
                <w:b/>
                <w:color w:val="FFFFFF" w:themeColor="background1"/>
                <w:sz w:val="22"/>
                <w:szCs w:val="22"/>
              </w:rPr>
              <w:t>RECOMMENDATIONS</w:t>
            </w:r>
          </w:p>
        </w:tc>
      </w:tr>
      <w:tr w:rsidR="00D84750" w:rsidRPr="005F0AA6" w:rsidTr="009C3D5D">
        <w:tc>
          <w:tcPr>
            <w:tcW w:w="9464" w:type="dxa"/>
            <w:tcBorders>
              <w:top w:val="single" w:sz="4" w:space="0" w:color="42D0B8"/>
              <w:left w:val="single" w:sz="4" w:space="0" w:color="42D0B8"/>
              <w:bottom w:val="single" w:sz="4" w:space="0" w:color="42D0B8"/>
              <w:right w:val="single" w:sz="4" w:space="0" w:color="42D0B8"/>
            </w:tcBorders>
            <w:shd w:val="clear" w:color="auto" w:fill="auto"/>
          </w:tcPr>
          <w:p w:rsidR="00D84750" w:rsidRPr="002E7621" w:rsidRDefault="00D84750" w:rsidP="002D3B17">
            <w:pPr>
              <w:spacing w:before="120"/>
              <w:jc w:val="both"/>
              <w:rPr>
                <w:rFonts w:asciiTheme="minorHAnsi" w:eastAsia="Arial Unicode MS" w:hAnsiTheme="minorHAnsi" w:cstheme="minorHAnsi"/>
                <w:b/>
                <w:sz w:val="22"/>
                <w:szCs w:val="22"/>
              </w:rPr>
            </w:pPr>
            <w:r w:rsidRPr="002E7621">
              <w:rPr>
                <w:rFonts w:asciiTheme="minorHAnsi" w:eastAsia="Arial Unicode MS" w:hAnsiTheme="minorHAnsi" w:cstheme="minorHAnsi"/>
                <w:b/>
                <w:sz w:val="22"/>
                <w:szCs w:val="22"/>
              </w:rPr>
              <w:t xml:space="preserve">KNOWLEDGE </w:t>
            </w:r>
          </w:p>
          <w:p w:rsidR="00D84750" w:rsidRDefault="00D84750" w:rsidP="002D3B17">
            <w:pPr>
              <w:pStyle w:val="ListParagraph"/>
              <w:numPr>
                <w:ilvl w:val="0"/>
                <w:numId w:val="26"/>
              </w:numPr>
              <w:spacing w:before="60" w:after="0" w:line="240" w:lineRule="auto"/>
              <w:ind w:left="426" w:hanging="284"/>
              <w:contextualSpacing w:val="0"/>
              <w:jc w:val="both"/>
              <w:rPr>
                <w:rFonts w:asciiTheme="minorHAnsi" w:eastAsia="Arial Unicode MS" w:hAnsiTheme="minorHAnsi" w:cstheme="minorHAnsi"/>
              </w:rPr>
            </w:pPr>
            <w:r w:rsidRPr="00E65FE2">
              <w:rPr>
                <w:rFonts w:asciiTheme="minorHAnsi" w:eastAsia="Arial Unicode MS" w:hAnsiTheme="minorHAnsi" w:cstheme="minorHAnsi"/>
              </w:rPr>
              <w:t>Patient information is a</w:t>
            </w:r>
            <w:r w:rsidR="007D1DA7">
              <w:rPr>
                <w:rFonts w:asciiTheme="minorHAnsi" w:eastAsia="Arial Unicode MS" w:hAnsiTheme="minorHAnsi" w:cstheme="minorHAnsi"/>
              </w:rPr>
              <w:t>vailable at every point of care</w:t>
            </w:r>
            <w:r w:rsidRPr="00E65FE2">
              <w:rPr>
                <w:rFonts w:asciiTheme="minorHAnsi" w:eastAsia="Arial Unicode MS" w:hAnsiTheme="minorHAnsi" w:cstheme="minorHAnsi"/>
              </w:rPr>
              <w:t xml:space="preserve"> to ensure clinicians (Dentist, Dental T</w:t>
            </w:r>
            <w:r w:rsidR="007D1DA7">
              <w:rPr>
                <w:rFonts w:asciiTheme="minorHAnsi" w:eastAsia="Arial Unicode MS" w:hAnsiTheme="minorHAnsi" w:cstheme="minorHAnsi"/>
              </w:rPr>
              <w:t xml:space="preserve">herapists, </w:t>
            </w:r>
            <w:r>
              <w:rPr>
                <w:rFonts w:asciiTheme="minorHAnsi" w:eastAsia="Arial Unicode MS" w:hAnsiTheme="minorHAnsi" w:cstheme="minorHAnsi"/>
              </w:rPr>
              <w:t>primary health care practitioner</w:t>
            </w:r>
            <w:r w:rsidRPr="00E65FE2">
              <w:rPr>
                <w:rFonts w:asciiTheme="minorHAnsi" w:eastAsia="Arial Unicode MS" w:hAnsiTheme="minorHAnsi" w:cstheme="minorHAnsi"/>
              </w:rPr>
              <w:t>) are informed about patient health status (B)</w:t>
            </w:r>
          </w:p>
          <w:p w:rsidR="00D84750" w:rsidRPr="002E7621" w:rsidRDefault="006A773E" w:rsidP="0002700B">
            <w:pPr>
              <w:pStyle w:val="ListParagraph"/>
              <w:numPr>
                <w:ilvl w:val="0"/>
                <w:numId w:val="26"/>
              </w:numPr>
              <w:spacing w:before="60" w:after="60" w:line="240" w:lineRule="auto"/>
              <w:ind w:left="426" w:hanging="284"/>
              <w:contextualSpacing w:val="0"/>
              <w:jc w:val="both"/>
              <w:rPr>
                <w:rFonts w:asciiTheme="minorHAnsi" w:eastAsia="Arial Unicode MS" w:hAnsiTheme="minorHAnsi" w:cstheme="minorHAnsi"/>
              </w:rPr>
            </w:pPr>
            <w:r>
              <w:rPr>
                <w:rFonts w:asciiTheme="minorHAnsi" w:eastAsia="Arial Unicode MS" w:hAnsiTheme="minorHAnsi" w:cstheme="minorHAnsi"/>
              </w:rPr>
              <w:t>Dental team must</w:t>
            </w:r>
            <w:r w:rsidR="00D84750" w:rsidRPr="002E7621">
              <w:rPr>
                <w:rFonts w:asciiTheme="minorHAnsi" w:eastAsia="Arial Unicode MS" w:hAnsiTheme="minorHAnsi" w:cstheme="minorHAnsi"/>
              </w:rPr>
              <w:t xml:space="preserve"> complete training with Tamariki Ora provider about the purpose of the Well Child programme to better inform parents/wh</w:t>
            </w:r>
            <w:r w:rsidR="0002700B">
              <w:rPr>
                <w:rFonts w:asciiTheme="minorHAnsi" w:eastAsia="Arial Unicode MS" w:hAnsiTheme="minorHAnsi" w:cstheme="minorHAnsi"/>
              </w:rPr>
              <w:t>ā</w:t>
            </w:r>
            <w:r w:rsidR="00D84750" w:rsidRPr="002E7621">
              <w:rPr>
                <w:rFonts w:asciiTheme="minorHAnsi" w:eastAsia="Arial Unicode MS" w:hAnsiTheme="minorHAnsi" w:cstheme="minorHAnsi"/>
              </w:rPr>
              <w:t>nau (A) (B)</w:t>
            </w:r>
          </w:p>
        </w:tc>
      </w:tr>
      <w:tr w:rsidR="00D84750" w:rsidRPr="005F0AA6" w:rsidTr="006A773E">
        <w:trPr>
          <w:trHeight w:val="416"/>
        </w:trPr>
        <w:tc>
          <w:tcPr>
            <w:tcW w:w="9464" w:type="dxa"/>
            <w:tcBorders>
              <w:top w:val="single" w:sz="4" w:space="0" w:color="42D0B8"/>
              <w:left w:val="single" w:sz="4" w:space="0" w:color="42D0B8"/>
              <w:bottom w:val="single" w:sz="4" w:space="0" w:color="42D0B8"/>
              <w:right w:val="single" w:sz="4" w:space="0" w:color="42D0B8"/>
            </w:tcBorders>
            <w:shd w:val="clear" w:color="auto" w:fill="auto"/>
          </w:tcPr>
          <w:p w:rsidR="00D84750" w:rsidRPr="002E7621" w:rsidRDefault="00D84750" w:rsidP="002D3B17">
            <w:pPr>
              <w:spacing w:before="120"/>
              <w:jc w:val="both"/>
              <w:rPr>
                <w:rFonts w:asciiTheme="minorHAnsi" w:eastAsia="Arial Unicode MS" w:hAnsiTheme="minorHAnsi" w:cstheme="minorHAnsi"/>
                <w:b/>
                <w:bCs/>
                <w:color w:val="3B2CFC"/>
                <w:sz w:val="22"/>
                <w:szCs w:val="22"/>
                <w:lang w:val="en-AU"/>
              </w:rPr>
            </w:pPr>
            <w:r w:rsidRPr="002E7621">
              <w:rPr>
                <w:rFonts w:asciiTheme="minorHAnsi" w:eastAsia="Arial Unicode MS" w:hAnsiTheme="minorHAnsi" w:cstheme="minorHAnsi"/>
                <w:b/>
                <w:sz w:val="22"/>
                <w:szCs w:val="22"/>
              </w:rPr>
              <w:t>SYSTEMS</w:t>
            </w:r>
          </w:p>
          <w:p w:rsidR="00D84750" w:rsidRPr="002E7621" w:rsidRDefault="00D84750" w:rsidP="002D3B17">
            <w:pPr>
              <w:pStyle w:val="ListParagraph"/>
              <w:numPr>
                <w:ilvl w:val="0"/>
                <w:numId w:val="26"/>
              </w:numPr>
              <w:spacing w:before="60" w:after="0" w:line="240" w:lineRule="auto"/>
              <w:ind w:left="426" w:hanging="284"/>
              <w:contextualSpacing w:val="0"/>
              <w:jc w:val="both"/>
              <w:rPr>
                <w:rFonts w:asciiTheme="minorHAnsi" w:eastAsia="Arial Unicode MS" w:hAnsiTheme="minorHAnsi" w:cstheme="minorHAnsi"/>
              </w:rPr>
            </w:pPr>
            <w:r w:rsidRPr="002E7621">
              <w:rPr>
                <w:rFonts w:asciiTheme="minorHAnsi" w:eastAsia="Arial Unicode MS" w:hAnsiTheme="minorHAnsi" w:cstheme="minorHAnsi"/>
              </w:rPr>
              <w:t>MOHP and Primary Care Practices have an information system that enables them to exchange and access patient information as appropriate, to inform patient care decisions and pathways</w:t>
            </w:r>
            <w:r>
              <w:rPr>
                <w:rFonts w:asciiTheme="minorHAnsi" w:eastAsia="Arial Unicode MS" w:hAnsiTheme="minorHAnsi" w:cstheme="minorHAnsi"/>
              </w:rPr>
              <w:t xml:space="preserve"> (B)</w:t>
            </w:r>
          </w:p>
          <w:p w:rsidR="00D84750" w:rsidRPr="0003585F" w:rsidRDefault="00D60FD2" w:rsidP="0003585F">
            <w:pPr>
              <w:spacing w:before="240" w:after="120"/>
              <w:jc w:val="both"/>
              <w:rPr>
                <w:rFonts w:asciiTheme="minorHAnsi" w:eastAsia="Arial Unicode MS" w:hAnsiTheme="minorHAnsi" w:cstheme="minorHAnsi"/>
                <w:b/>
                <w:sz w:val="22"/>
              </w:rPr>
            </w:pPr>
            <w:r>
              <w:rPr>
                <w:rFonts w:asciiTheme="minorHAnsi" w:eastAsia="Arial Unicode MS" w:hAnsiTheme="minorHAnsi" w:cstheme="minorHAnsi"/>
                <w:b/>
                <w:sz w:val="22"/>
              </w:rPr>
              <w:t xml:space="preserve">Oral health </w:t>
            </w:r>
            <w:r w:rsidRPr="00080DCE">
              <w:rPr>
                <w:rFonts w:asciiTheme="minorHAnsi" w:eastAsia="Arial Unicode MS" w:hAnsiTheme="minorHAnsi" w:cstheme="minorHAnsi"/>
                <w:b/>
                <w:sz w:val="22"/>
              </w:rPr>
              <w:t>practitioners must</w:t>
            </w:r>
            <w:r w:rsidR="00D84750" w:rsidRPr="00080DCE">
              <w:rPr>
                <w:rFonts w:asciiTheme="minorHAnsi" w:eastAsia="Arial Unicode MS" w:hAnsiTheme="minorHAnsi" w:cstheme="minorHAnsi"/>
                <w:b/>
                <w:sz w:val="22"/>
              </w:rPr>
              <w:t>:</w:t>
            </w:r>
          </w:p>
          <w:p w:rsidR="00D84750" w:rsidRPr="002D3B17" w:rsidRDefault="00D84750" w:rsidP="002D3B17">
            <w:pPr>
              <w:pStyle w:val="ListParagraph"/>
              <w:numPr>
                <w:ilvl w:val="0"/>
                <w:numId w:val="26"/>
              </w:numPr>
              <w:spacing w:before="60" w:after="0" w:line="240" w:lineRule="auto"/>
              <w:ind w:left="426" w:hanging="284"/>
              <w:contextualSpacing w:val="0"/>
              <w:jc w:val="both"/>
              <w:rPr>
                <w:rFonts w:asciiTheme="minorHAnsi" w:eastAsia="Arial Unicode MS" w:hAnsiTheme="minorHAnsi" w:cstheme="minorHAnsi"/>
              </w:rPr>
            </w:pPr>
            <w:r w:rsidRPr="002E7621">
              <w:rPr>
                <w:rFonts w:asciiTheme="minorHAnsi" w:eastAsia="Arial Unicode MS" w:hAnsiTheme="minorHAnsi" w:cstheme="minorHAnsi"/>
              </w:rPr>
              <w:t>Ask the parent/primary caregiver if the child is enrolled with a Tama</w:t>
            </w:r>
            <w:r>
              <w:rPr>
                <w:rFonts w:asciiTheme="minorHAnsi" w:eastAsia="Arial Unicode MS" w:hAnsiTheme="minorHAnsi" w:cstheme="minorHAnsi"/>
              </w:rPr>
              <w:t xml:space="preserve">riki Ora/Well Child Provider (A, </w:t>
            </w:r>
            <w:r w:rsidRPr="002E7621">
              <w:rPr>
                <w:rFonts w:asciiTheme="minorHAnsi" w:eastAsia="Arial Unicode MS" w:hAnsiTheme="minorHAnsi" w:cstheme="minorHAnsi"/>
              </w:rPr>
              <w:t>B)</w:t>
            </w:r>
          </w:p>
          <w:p w:rsidR="00D84750" w:rsidRPr="002D3B17" w:rsidRDefault="00D84750" w:rsidP="002D3B17">
            <w:pPr>
              <w:pStyle w:val="ListParagraph"/>
              <w:numPr>
                <w:ilvl w:val="0"/>
                <w:numId w:val="26"/>
              </w:numPr>
              <w:spacing w:before="60" w:after="0" w:line="240" w:lineRule="auto"/>
              <w:ind w:left="426" w:hanging="284"/>
              <w:contextualSpacing w:val="0"/>
              <w:jc w:val="both"/>
              <w:rPr>
                <w:rFonts w:asciiTheme="minorHAnsi" w:eastAsia="Arial Unicode MS" w:hAnsiTheme="minorHAnsi" w:cstheme="minorHAnsi"/>
              </w:rPr>
            </w:pPr>
            <w:r w:rsidRPr="002E7621">
              <w:rPr>
                <w:rFonts w:asciiTheme="minorHAnsi" w:eastAsia="Arial Unicode MS" w:hAnsiTheme="minorHAnsi" w:cstheme="minorHAnsi"/>
              </w:rPr>
              <w:t>Where appropriate, facilitate access to care by referring</w:t>
            </w:r>
            <w:r>
              <w:rPr>
                <w:rFonts w:asciiTheme="minorHAnsi" w:eastAsia="Arial Unicode MS" w:hAnsiTheme="minorHAnsi" w:cstheme="minorHAnsi"/>
              </w:rPr>
              <w:t xml:space="preserve"> the child and their wh</w:t>
            </w:r>
            <w:r w:rsidR="0002700B">
              <w:rPr>
                <w:rFonts w:asciiTheme="minorHAnsi" w:eastAsia="Arial Unicode MS" w:hAnsiTheme="minorHAnsi" w:cstheme="minorHAnsi"/>
              </w:rPr>
              <w:t>ā</w:t>
            </w:r>
            <w:r>
              <w:rPr>
                <w:rFonts w:asciiTheme="minorHAnsi" w:eastAsia="Arial Unicode MS" w:hAnsiTheme="minorHAnsi" w:cstheme="minorHAnsi"/>
              </w:rPr>
              <w:t>nau</w:t>
            </w:r>
            <w:r w:rsidRPr="002E7621">
              <w:rPr>
                <w:rFonts w:asciiTheme="minorHAnsi" w:eastAsia="Arial Unicode MS" w:hAnsiTheme="minorHAnsi" w:cstheme="minorHAnsi"/>
              </w:rPr>
              <w:t xml:space="preserve"> to the primary care nurse or</w:t>
            </w:r>
            <w:r w:rsidR="00717BFA">
              <w:rPr>
                <w:rFonts w:asciiTheme="minorHAnsi" w:eastAsia="Arial Unicode MS" w:hAnsiTheme="minorHAnsi" w:cstheme="minorHAnsi"/>
              </w:rPr>
              <w:t xml:space="preserve"> WCTO provider for follow up and d</w:t>
            </w:r>
            <w:r w:rsidRPr="002D3B17">
              <w:rPr>
                <w:rFonts w:asciiTheme="minorHAnsi" w:eastAsia="Arial Unicode MS" w:hAnsiTheme="minorHAnsi" w:cstheme="minorHAnsi"/>
              </w:rPr>
              <w:t>ocument that you have done so</w:t>
            </w:r>
            <w:r w:rsidR="00717BFA">
              <w:rPr>
                <w:rFonts w:asciiTheme="minorHAnsi" w:eastAsia="Arial Unicode MS" w:hAnsiTheme="minorHAnsi" w:cstheme="minorHAnsi"/>
              </w:rPr>
              <w:t xml:space="preserve"> (B)</w:t>
            </w:r>
          </w:p>
          <w:p w:rsidR="00D84750" w:rsidRDefault="00D84750" w:rsidP="002D3B17">
            <w:pPr>
              <w:pStyle w:val="ListParagraph"/>
              <w:numPr>
                <w:ilvl w:val="0"/>
                <w:numId w:val="26"/>
              </w:numPr>
              <w:spacing w:before="60" w:after="0" w:line="240" w:lineRule="auto"/>
              <w:ind w:left="426" w:hanging="284"/>
              <w:contextualSpacing w:val="0"/>
              <w:jc w:val="both"/>
              <w:rPr>
                <w:rFonts w:asciiTheme="minorHAnsi" w:eastAsia="Arial Unicode MS" w:hAnsiTheme="minorHAnsi" w:cstheme="minorHAnsi"/>
              </w:rPr>
            </w:pPr>
            <w:r w:rsidRPr="00364FBD">
              <w:rPr>
                <w:rFonts w:asciiTheme="minorHAnsi" w:eastAsia="Arial Unicode MS" w:hAnsiTheme="minorHAnsi" w:cstheme="minorHAnsi"/>
              </w:rPr>
              <w:t xml:space="preserve">Where a child is enrolled with a WCTO provider, use appropriate referral pathways to fill any gaps in scheduled health checks (B) </w:t>
            </w:r>
          </w:p>
          <w:p w:rsidR="00D84750" w:rsidRDefault="00D84750" w:rsidP="002D3B17">
            <w:pPr>
              <w:pStyle w:val="ListParagraph"/>
              <w:numPr>
                <w:ilvl w:val="0"/>
                <w:numId w:val="26"/>
              </w:numPr>
              <w:spacing w:before="60" w:after="0" w:line="240" w:lineRule="auto"/>
              <w:ind w:left="426" w:hanging="284"/>
              <w:contextualSpacing w:val="0"/>
              <w:jc w:val="both"/>
              <w:rPr>
                <w:rFonts w:asciiTheme="minorHAnsi" w:eastAsia="Arial Unicode MS" w:hAnsiTheme="minorHAnsi" w:cstheme="minorHAnsi"/>
              </w:rPr>
            </w:pPr>
            <w:r w:rsidRPr="002E7621">
              <w:rPr>
                <w:rFonts w:asciiTheme="minorHAnsi" w:eastAsia="Arial Unicode MS" w:hAnsiTheme="minorHAnsi" w:cstheme="minorHAnsi"/>
              </w:rPr>
              <w:t>Where th</w:t>
            </w:r>
            <w:r>
              <w:rPr>
                <w:rFonts w:asciiTheme="minorHAnsi" w:eastAsia="Arial Unicode MS" w:hAnsiTheme="minorHAnsi" w:cstheme="minorHAnsi"/>
              </w:rPr>
              <w:t>e child is not enrolled with the</w:t>
            </w:r>
            <w:r w:rsidRPr="002E7621">
              <w:rPr>
                <w:rFonts w:asciiTheme="minorHAnsi" w:eastAsia="Arial Unicode MS" w:hAnsiTheme="minorHAnsi" w:cstheme="minorHAnsi"/>
              </w:rPr>
              <w:t xml:space="preserve"> </w:t>
            </w:r>
            <w:r>
              <w:rPr>
                <w:rFonts w:asciiTheme="minorHAnsi" w:eastAsia="Arial Unicode MS" w:hAnsiTheme="minorHAnsi" w:cstheme="minorHAnsi"/>
              </w:rPr>
              <w:t>WCTO programme, get appropriate</w:t>
            </w:r>
            <w:r w:rsidRPr="002E7621">
              <w:rPr>
                <w:rFonts w:asciiTheme="minorHAnsi" w:eastAsia="Arial Unicode MS" w:hAnsiTheme="minorHAnsi" w:cstheme="minorHAnsi"/>
              </w:rPr>
              <w:t xml:space="preserve"> consent</w:t>
            </w:r>
            <w:r>
              <w:rPr>
                <w:rFonts w:asciiTheme="minorHAnsi" w:eastAsia="Arial Unicode MS" w:hAnsiTheme="minorHAnsi" w:cstheme="minorHAnsi"/>
              </w:rPr>
              <w:t xml:space="preserve"> from wh</w:t>
            </w:r>
            <w:r w:rsidR="0002700B">
              <w:rPr>
                <w:rFonts w:asciiTheme="minorHAnsi" w:eastAsia="Arial Unicode MS" w:hAnsiTheme="minorHAnsi" w:cstheme="minorHAnsi"/>
              </w:rPr>
              <w:t>ā</w:t>
            </w:r>
            <w:r>
              <w:rPr>
                <w:rFonts w:asciiTheme="minorHAnsi" w:eastAsia="Arial Unicode MS" w:hAnsiTheme="minorHAnsi" w:cstheme="minorHAnsi"/>
              </w:rPr>
              <w:t xml:space="preserve">nau, and refer them to their </w:t>
            </w:r>
            <w:r w:rsidRPr="002E7621">
              <w:rPr>
                <w:rFonts w:asciiTheme="minorHAnsi" w:eastAsia="Arial Unicode MS" w:hAnsiTheme="minorHAnsi" w:cstheme="minorHAnsi"/>
              </w:rPr>
              <w:t xml:space="preserve">preferred </w:t>
            </w:r>
            <w:r>
              <w:rPr>
                <w:rFonts w:asciiTheme="minorHAnsi" w:eastAsia="Arial Unicode MS" w:hAnsiTheme="minorHAnsi" w:cstheme="minorHAnsi"/>
              </w:rPr>
              <w:t>WCTO</w:t>
            </w:r>
            <w:r w:rsidRPr="002E7621">
              <w:rPr>
                <w:rFonts w:asciiTheme="minorHAnsi" w:eastAsia="Arial Unicode MS" w:hAnsiTheme="minorHAnsi" w:cstheme="minorHAnsi"/>
              </w:rPr>
              <w:t xml:space="preserve"> provider</w:t>
            </w:r>
            <w:r>
              <w:rPr>
                <w:rFonts w:asciiTheme="minorHAnsi" w:eastAsia="Arial Unicode MS" w:hAnsiTheme="minorHAnsi" w:cstheme="minorHAnsi"/>
              </w:rPr>
              <w:t>. Document that you have done so</w:t>
            </w:r>
            <w:r w:rsidRPr="002E7621">
              <w:rPr>
                <w:rFonts w:asciiTheme="minorHAnsi" w:eastAsia="Arial Unicode MS" w:hAnsiTheme="minorHAnsi" w:cstheme="minorHAnsi"/>
              </w:rPr>
              <w:t xml:space="preserve"> (B)</w:t>
            </w:r>
          </w:p>
          <w:p w:rsidR="00D84750" w:rsidRPr="002D3B17" w:rsidRDefault="00D84750" w:rsidP="002D3B17">
            <w:pPr>
              <w:pStyle w:val="ListParagraph"/>
              <w:numPr>
                <w:ilvl w:val="0"/>
                <w:numId w:val="26"/>
              </w:numPr>
              <w:spacing w:before="60" w:after="0" w:line="240" w:lineRule="auto"/>
              <w:ind w:left="426" w:hanging="284"/>
              <w:contextualSpacing w:val="0"/>
              <w:jc w:val="both"/>
              <w:rPr>
                <w:rFonts w:asciiTheme="minorHAnsi" w:eastAsia="Arial Unicode MS" w:hAnsiTheme="minorHAnsi" w:cstheme="minorHAnsi"/>
              </w:rPr>
            </w:pPr>
            <w:r w:rsidRPr="002E7621">
              <w:rPr>
                <w:rFonts w:asciiTheme="minorHAnsi" w:eastAsia="Arial Unicode MS" w:hAnsiTheme="minorHAnsi" w:cstheme="minorHAnsi"/>
              </w:rPr>
              <w:t>Ask the parent/wh</w:t>
            </w:r>
            <w:r w:rsidR="0002700B">
              <w:rPr>
                <w:rFonts w:asciiTheme="minorHAnsi" w:eastAsia="Arial Unicode MS" w:hAnsiTheme="minorHAnsi" w:cstheme="minorHAnsi"/>
              </w:rPr>
              <w:t>ā</w:t>
            </w:r>
            <w:r w:rsidRPr="002E7621">
              <w:rPr>
                <w:rFonts w:asciiTheme="minorHAnsi" w:eastAsia="Arial Unicode MS" w:hAnsiTheme="minorHAnsi" w:cstheme="minorHAnsi"/>
              </w:rPr>
              <w:t>nau if the child is enrolled with the MOHP or community dental service provide</w:t>
            </w:r>
            <w:r w:rsidR="002F7236">
              <w:rPr>
                <w:rFonts w:asciiTheme="minorHAnsi" w:eastAsia="Arial Unicode MS" w:hAnsiTheme="minorHAnsi" w:cstheme="minorHAnsi"/>
              </w:rPr>
              <w:t>r. If not, obtain consent to enrol the child</w:t>
            </w:r>
            <w:r w:rsidRPr="002E7621">
              <w:rPr>
                <w:rFonts w:asciiTheme="minorHAnsi" w:eastAsia="Arial Unicode MS" w:hAnsiTheme="minorHAnsi" w:cstheme="minorHAnsi"/>
              </w:rPr>
              <w:t xml:space="preserve"> or </w:t>
            </w:r>
            <w:r w:rsidR="002F7236">
              <w:rPr>
                <w:rFonts w:asciiTheme="minorHAnsi" w:eastAsia="Arial Unicode MS" w:hAnsiTheme="minorHAnsi" w:cstheme="minorHAnsi"/>
              </w:rPr>
              <w:t>use referral pathway</w:t>
            </w:r>
            <w:r w:rsidRPr="002E7621">
              <w:rPr>
                <w:rFonts w:asciiTheme="minorHAnsi" w:eastAsia="Arial Unicode MS" w:hAnsiTheme="minorHAnsi" w:cstheme="minorHAnsi"/>
              </w:rPr>
              <w:t xml:space="preserve"> to </w:t>
            </w:r>
            <w:r w:rsidR="002F7236">
              <w:rPr>
                <w:rFonts w:asciiTheme="minorHAnsi" w:eastAsia="Arial Unicode MS" w:hAnsiTheme="minorHAnsi" w:cstheme="minorHAnsi"/>
              </w:rPr>
              <w:t xml:space="preserve">refer the child to </w:t>
            </w:r>
            <w:r w:rsidRPr="002E7621">
              <w:rPr>
                <w:rFonts w:asciiTheme="minorHAnsi" w:eastAsia="Arial Unicode MS" w:hAnsiTheme="minorHAnsi" w:cstheme="minorHAnsi"/>
              </w:rPr>
              <w:t xml:space="preserve">the community dental service </w:t>
            </w:r>
            <w:r w:rsidR="002F7236">
              <w:rPr>
                <w:rFonts w:asciiTheme="minorHAnsi" w:eastAsia="Arial Unicode MS" w:hAnsiTheme="minorHAnsi" w:cstheme="minorHAnsi"/>
              </w:rPr>
              <w:t xml:space="preserve">(A) </w:t>
            </w:r>
            <w:r w:rsidRPr="002E7621">
              <w:rPr>
                <w:rFonts w:asciiTheme="minorHAnsi" w:eastAsia="Arial Unicode MS" w:hAnsiTheme="minorHAnsi" w:cstheme="minorHAnsi"/>
              </w:rPr>
              <w:t xml:space="preserve">(B)  </w:t>
            </w:r>
          </w:p>
          <w:p w:rsidR="00D84750" w:rsidRPr="00080DCE" w:rsidRDefault="00D84750" w:rsidP="002D3B17">
            <w:pPr>
              <w:pStyle w:val="ListParagraph"/>
              <w:numPr>
                <w:ilvl w:val="0"/>
                <w:numId w:val="26"/>
              </w:numPr>
              <w:spacing w:before="60" w:after="0" w:line="240" w:lineRule="auto"/>
              <w:ind w:left="426" w:hanging="284"/>
              <w:contextualSpacing w:val="0"/>
              <w:jc w:val="both"/>
              <w:rPr>
                <w:rFonts w:asciiTheme="minorHAnsi" w:eastAsia="Arial Unicode MS" w:hAnsiTheme="minorHAnsi" w:cstheme="minorHAnsi"/>
              </w:rPr>
            </w:pPr>
            <w:r w:rsidRPr="00080DCE">
              <w:rPr>
                <w:rFonts w:asciiTheme="minorHAnsi" w:eastAsia="Arial Unicode MS" w:hAnsiTheme="minorHAnsi" w:cstheme="minorHAnsi"/>
              </w:rPr>
              <w:t>Promote understanding of the community oral health service and</w:t>
            </w:r>
            <w:r w:rsidR="00021C21" w:rsidRPr="00080DCE">
              <w:rPr>
                <w:rFonts w:asciiTheme="minorHAnsi" w:eastAsia="Arial Unicode MS" w:hAnsiTheme="minorHAnsi" w:cstheme="minorHAnsi"/>
              </w:rPr>
              <w:t xml:space="preserve"> importance of good nutrition and healthy teeth</w:t>
            </w:r>
            <w:r w:rsidRPr="00080DCE">
              <w:rPr>
                <w:rFonts w:asciiTheme="minorHAnsi" w:eastAsia="Arial Unicode MS" w:hAnsiTheme="minorHAnsi" w:cstheme="minorHAnsi"/>
              </w:rPr>
              <w:t xml:space="preserve"> (B)</w:t>
            </w:r>
          </w:p>
          <w:p w:rsidR="00D84750" w:rsidRPr="00080DCE" w:rsidRDefault="00D84750" w:rsidP="002D3B17">
            <w:pPr>
              <w:pStyle w:val="ListParagraph"/>
              <w:numPr>
                <w:ilvl w:val="0"/>
                <w:numId w:val="26"/>
              </w:numPr>
              <w:spacing w:before="60" w:after="60" w:line="240" w:lineRule="auto"/>
              <w:ind w:left="426" w:hanging="284"/>
              <w:contextualSpacing w:val="0"/>
              <w:jc w:val="both"/>
              <w:rPr>
                <w:rFonts w:asciiTheme="minorHAnsi" w:eastAsia="Arial Unicode MS" w:hAnsiTheme="minorHAnsi" w:cstheme="minorHAnsi"/>
              </w:rPr>
            </w:pPr>
            <w:r w:rsidRPr="002E7621">
              <w:rPr>
                <w:rFonts w:asciiTheme="minorHAnsi" w:eastAsia="Arial Unicode MS" w:hAnsiTheme="minorHAnsi" w:cstheme="minorHAnsi"/>
              </w:rPr>
              <w:t>Inform pregnant women or new mothers about WCTO and Commu</w:t>
            </w:r>
            <w:r w:rsidR="0002700B">
              <w:rPr>
                <w:rFonts w:asciiTheme="minorHAnsi" w:eastAsia="Arial Unicode MS" w:hAnsiTheme="minorHAnsi" w:cstheme="minorHAnsi"/>
              </w:rPr>
              <w:t>nity Oral Health services for pē</w:t>
            </w:r>
            <w:r w:rsidRPr="002E7621">
              <w:rPr>
                <w:rFonts w:asciiTheme="minorHAnsi" w:eastAsia="Arial Unicode MS" w:hAnsiTheme="minorHAnsi" w:cstheme="minorHAnsi"/>
              </w:rPr>
              <w:t>pi/tamariki (B</w:t>
            </w:r>
            <w:r w:rsidRPr="00080DCE">
              <w:rPr>
                <w:rFonts w:asciiTheme="minorHAnsi" w:eastAsia="Arial Unicode MS" w:hAnsiTheme="minorHAnsi" w:cstheme="minorHAnsi"/>
              </w:rPr>
              <w:t xml:space="preserve">). </w:t>
            </w:r>
            <w:r w:rsidR="00021C21" w:rsidRPr="00080DCE">
              <w:rPr>
                <w:rFonts w:asciiTheme="minorHAnsi" w:eastAsia="Arial Unicode MS" w:hAnsiTheme="minorHAnsi" w:cstheme="minorHAnsi"/>
              </w:rPr>
              <w:t>Use this opportunity to promote good nutrit</w:t>
            </w:r>
            <w:r w:rsidR="007D1DA7">
              <w:rPr>
                <w:rFonts w:asciiTheme="minorHAnsi" w:eastAsia="Arial Unicode MS" w:hAnsiTheme="minorHAnsi" w:cstheme="minorHAnsi"/>
              </w:rPr>
              <w:t>ion during pregnancy</w:t>
            </w:r>
            <w:r w:rsidR="00021C21" w:rsidRPr="00080DCE">
              <w:rPr>
                <w:rFonts w:asciiTheme="minorHAnsi" w:eastAsia="Arial Unicode MS" w:hAnsiTheme="minorHAnsi" w:cstheme="minorHAnsi"/>
              </w:rPr>
              <w:t xml:space="preserve">, benefits of breastfeeding, and good oral health practices for mother and baby. </w:t>
            </w:r>
            <w:r w:rsidRPr="00080DCE">
              <w:rPr>
                <w:rFonts w:asciiTheme="minorHAnsi" w:eastAsia="Arial Unicode MS" w:hAnsiTheme="minorHAnsi" w:cstheme="minorHAnsi"/>
              </w:rPr>
              <w:t>Give information as necessary</w:t>
            </w:r>
          </w:p>
          <w:p w:rsidR="006A773E" w:rsidRDefault="006A773E" w:rsidP="0002700B">
            <w:pPr>
              <w:pStyle w:val="ListParagraph"/>
              <w:numPr>
                <w:ilvl w:val="0"/>
                <w:numId w:val="26"/>
              </w:numPr>
              <w:spacing w:before="60" w:after="60" w:line="240" w:lineRule="auto"/>
              <w:ind w:left="426" w:hanging="284"/>
              <w:contextualSpacing w:val="0"/>
              <w:jc w:val="both"/>
              <w:rPr>
                <w:rFonts w:asciiTheme="minorHAnsi" w:eastAsia="Arial Unicode MS" w:hAnsiTheme="minorHAnsi" w:cstheme="minorHAnsi"/>
              </w:rPr>
            </w:pPr>
            <w:r w:rsidRPr="00080DCE">
              <w:rPr>
                <w:rFonts w:asciiTheme="minorHAnsi" w:eastAsia="Arial Unicode MS" w:hAnsiTheme="minorHAnsi" w:cstheme="minorHAnsi"/>
              </w:rPr>
              <w:t>As appropriate, determine any additional health, educational, or social needs of the child and/or wh</w:t>
            </w:r>
            <w:r w:rsidR="0002700B" w:rsidRPr="00080DCE">
              <w:rPr>
                <w:rFonts w:asciiTheme="minorHAnsi" w:eastAsia="Arial Unicode MS" w:hAnsiTheme="minorHAnsi" w:cstheme="minorHAnsi"/>
              </w:rPr>
              <w:t>ā</w:t>
            </w:r>
            <w:r w:rsidRPr="00080DCE">
              <w:rPr>
                <w:rFonts w:asciiTheme="minorHAnsi" w:eastAsia="Arial Unicode MS" w:hAnsiTheme="minorHAnsi" w:cstheme="minorHAnsi"/>
              </w:rPr>
              <w:t xml:space="preserve">nau and use appropriate referral pathways to services and programmes who can further </w:t>
            </w:r>
            <w:r w:rsidRPr="00080DCE">
              <w:rPr>
                <w:rFonts w:asciiTheme="minorHAnsi" w:eastAsia="Arial Unicode MS" w:hAnsiTheme="minorHAnsi" w:cstheme="minorHAnsi"/>
              </w:rPr>
              <w:lastRenderedPageBreak/>
              <w:t>assess child/</w:t>
            </w:r>
            <w:r w:rsidR="0002700B" w:rsidRPr="00080DCE">
              <w:rPr>
                <w:rFonts w:asciiTheme="minorHAnsi" w:eastAsia="Arial Unicode MS" w:hAnsiTheme="minorHAnsi" w:cstheme="minorHAnsi"/>
              </w:rPr>
              <w:t>whā</w:t>
            </w:r>
            <w:r w:rsidRPr="00080DCE">
              <w:rPr>
                <w:rFonts w:asciiTheme="minorHAnsi" w:eastAsia="Arial Unicode MS" w:hAnsiTheme="minorHAnsi" w:cstheme="minorHAnsi"/>
              </w:rPr>
              <w:t>nau needs</w:t>
            </w:r>
          </w:p>
        </w:tc>
      </w:tr>
      <w:tr w:rsidR="00D84750" w:rsidRPr="005F0AA6" w:rsidTr="009C3D5D">
        <w:tc>
          <w:tcPr>
            <w:tcW w:w="9464" w:type="dxa"/>
            <w:tcBorders>
              <w:top w:val="single" w:sz="4" w:space="0" w:color="42D0B8"/>
              <w:left w:val="single" w:sz="4" w:space="0" w:color="42D0B8"/>
              <w:bottom w:val="single" w:sz="4" w:space="0" w:color="42D0B8"/>
              <w:right w:val="single" w:sz="4" w:space="0" w:color="42D0B8"/>
            </w:tcBorders>
            <w:shd w:val="clear" w:color="auto" w:fill="auto"/>
          </w:tcPr>
          <w:p w:rsidR="00D84750" w:rsidRPr="0003585F" w:rsidRDefault="00D84750" w:rsidP="0003585F">
            <w:pPr>
              <w:spacing w:before="240" w:after="120"/>
              <w:jc w:val="both"/>
              <w:rPr>
                <w:rFonts w:asciiTheme="minorHAnsi" w:eastAsia="Arial Unicode MS" w:hAnsiTheme="minorHAnsi" w:cstheme="minorHAnsi"/>
                <w:b/>
                <w:sz w:val="22"/>
              </w:rPr>
            </w:pPr>
            <w:r w:rsidRPr="0003585F">
              <w:rPr>
                <w:rFonts w:asciiTheme="minorHAnsi" w:eastAsia="Arial Unicode MS" w:hAnsiTheme="minorHAnsi" w:cstheme="minorHAnsi"/>
                <w:b/>
                <w:sz w:val="22"/>
              </w:rPr>
              <w:lastRenderedPageBreak/>
              <w:t>Primary car</w:t>
            </w:r>
            <w:r w:rsidR="00D60FD2">
              <w:rPr>
                <w:rFonts w:asciiTheme="minorHAnsi" w:eastAsia="Arial Unicode MS" w:hAnsiTheme="minorHAnsi" w:cstheme="minorHAnsi"/>
                <w:b/>
                <w:sz w:val="22"/>
              </w:rPr>
              <w:t xml:space="preserve">e nurses &amp; WCTO </w:t>
            </w:r>
            <w:r w:rsidR="00D60FD2" w:rsidRPr="00080DCE">
              <w:rPr>
                <w:rFonts w:asciiTheme="minorHAnsi" w:eastAsia="Arial Unicode MS" w:hAnsiTheme="minorHAnsi" w:cstheme="minorHAnsi"/>
                <w:b/>
                <w:sz w:val="22"/>
              </w:rPr>
              <w:t>providers must</w:t>
            </w:r>
            <w:r w:rsidRPr="00080DCE">
              <w:rPr>
                <w:rFonts w:asciiTheme="minorHAnsi" w:eastAsia="Arial Unicode MS" w:hAnsiTheme="minorHAnsi" w:cstheme="minorHAnsi"/>
                <w:b/>
                <w:sz w:val="22"/>
              </w:rPr>
              <w:t>:</w:t>
            </w:r>
          </w:p>
          <w:p w:rsidR="00D84750" w:rsidRDefault="00D60FD2" w:rsidP="002D3B17">
            <w:pPr>
              <w:pStyle w:val="ListParagraph"/>
              <w:numPr>
                <w:ilvl w:val="0"/>
                <w:numId w:val="26"/>
              </w:numPr>
              <w:spacing w:before="60" w:after="0" w:line="240" w:lineRule="auto"/>
              <w:ind w:left="426" w:hanging="284"/>
              <w:contextualSpacing w:val="0"/>
              <w:jc w:val="both"/>
              <w:rPr>
                <w:rFonts w:asciiTheme="minorHAnsi" w:eastAsia="Arial Unicode MS" w:hAnsiTheme="minorHAnsi" w:cstheme="minorHAnsi"/>
              </w:rPr>
            </w:pPr>
            <w:r>
              <w:rPr>
                <w:rFonts w:asciiTheme="minorHAnsi" w:eastAsia="Arial Unicode MS" w:hAnsiTheme="minorHAnsi" w:cstheme="minorHAnsi"/>
              </w:rPr>
              <w:t>E</w:t>
            </w:r>
            <w:r w:rsidR="00717BFA">
              <w:rPr>
                <w:rFonts w:asciiTheme="minorHAnsi" w:eastAsia="Arial Unicode MS" w:hAnsiTheme="minorHAnsi" w:cstheme="minorHAnsi"/>
              </w:rPr>
              <w:t>ncourage wh</w:t>
            </w:r>
            <w:r w:rsidR="00A92AFD">
              <w:rPr>
                <w:rFonts w:asciiTheme="minorHAnsi" w:eastAsia="Arial Unicode MS" w:hAnsiTheme="minorHAnsi" w:cstheme="minorHAnsi"/>
              </w:rPr>
              <w:t>ā</w:t>
            </w:r>
            <w:r w:rsidR="00717BFA">
              <w:rPr>
                <w:rFonts w:asciiTheme="minorHAnsi" w:eastAsia="Arial Unicode MS" w:hAnsiTheme="minorHAnsi" w:cstheme="minorHAnsi"/>
              </w:rPr>
              <w:t xml:space="preserve">nau to </w:t>
            </w:r>
            <w:r w:rsidR="00D84750">
              <w:rPr>
                <w:rFonts w:asciiTheme="minorHAnsi" w:eastAsia="Arial Unicode MS" w:hAnsiTheme="minorHAnsi" w:cstheme="minorHAnsi"/>
              </w:rPr>
              <w:t xml:space="preserve">enrol their </w:t>
            </w:r>
            <w:r w:rsidR="00A92AFD">
              <w:rPr>
                <w:rFonts w:asciiTheme="minorHAnsi" w:eastAsia="Arial Unicode MS" w:hAnsiTheme="minorHAnsi" w:cstheme="minorHAnsi"/>
              </w:rPr>
              <w:t>pē</w:t>
            </w:r>
            <w:r w:rsidR="00717BFA">
              <w:rPr>
                <w:rFonts w:asciiTheme="minorHAnsi" w:eastAsia="Arial Unicode MS" w:hAnsiTheme="minorHAnsi" w:cstheme="minorHAnsi"/>
              </w:rPr>
              <w:t>pi/</w:t>
            </w:r>
            <w:r w:rsidR="00D84750">
              <w:rPr>
                <w:rFonts w:asciiTheme="minorHAnsi" w:eastAsia="Arial Unicode MS" w:hAnsiTheme="minorHAnsi" w:cstheme="minorHAnsi"/>
              </w:rPr>
              <w:t>tamariki with the MOHP or the commun</w:t>
            </w:r>
            <w:r w:rsidR="00717BFA">
              <w:rPr>
                <w:rFonts w:asciiTheme="minorHAnsi" w:eastAsia="Arial Unicode MS" w:hAnsiTheme="minorHAnsi" w:cstheme="minorHAnsi"/>
              </w:rPr>
              <w:t>ity dental health service</w:t>
            </w:r>
            <w:r w:rsidR="00D84750">
              <w:rPr>
                <w:rFonts w:asciiTheme="minorHAnsi" w:eastAsia="Arial Unicode MS" w:hAnsiTheme="minorHAnsi" w:cstheme="minorHAnsi"/>
              </w:rPr>
              <w:t xml:space="preserve">. Provide information about the service and encourage regular dental visits even if there are no dental problems (B)  </w:t>
            </w:r>
          </w:p>
          <w:p w:rsidR="00D84750" w:rsidRDefault="00D60FD2" w:rsidP="002D3B17">
            <w:pPr>
              <w:pStyle w:val="ListParagraph"/>
              <w:numPr>
                <w:ilvl w:val="0"/>
                <w:numId w:val="26"/>
              </w:numPr>
              <w:spacing w:before="60" w:after="0" w:line="240" w:lineRule="auto"/>
              <w:ind w:left="426" w:hanging="284"/>
              <w:contextualSpacing w:val="0"/>
              <w:jc w:val="both"/>
              <w:rPr>
                <w:rFonts w:asciiTheme="minorHAnsi" w:eastAsia="Arial Unicode MS" w:hAnsiTheme="minorHAnsi" w:cstheme="minorHAnsi"/>
              </w:rPr>
            </w:pPr>
            <w:r>
              <w:rPr>
                <w:rFonts w:asciiTheme="minorHAnsi" w:eastAsia="Arial Unicode MS" w:hAnsiTheme="minorHAnsi" w:cstheme="minorHAnsi"/>
              </w:rPr>
              <w:t>As appropriate,</w:t>
            </w:r>
            <w:r w:rsidR="00D84750">
              <w:rPr>
                <w:rFonts w:asciiTheme="minorHAnsi" w:eastAsia="Arial Unicode MS" w:hAnsiTheme="minorHAnsi" w:cstheme="minorHAnsi"/>
              </w:rPr>
              <w:t xml:space="preserve"> refer children to their MOHP or community dental health service earlier than recommended particularly where the child was premature, low birth weight, or with developmental disabilities and disorders (B)</w:t>
            </w:r>
          </w:p>
          <w:p w:rsidR="00D84750" w:rsidRPr="002E7621" w:rsidRDefault="00D84750" w:rsidP="002D3B17">
            <w:pPr>
              <w:pStyle w:val="ListParagraph"/>
              <w:numPr>
                <w:ilvl w:val="0"/>
                <w:numId w:val="26"/>
              </w:numPr>
              <w:spacing w:before="60" w:after="0" w:line="240" w:lineRule="auto"/>
              <w:ind w:left="426" w:hanging="284"/>
              <w:contextualSpacing w:val="0"/>
              <w:jc w:val="both"/>
              <w:rPr>
                <w:rFonts w:asciiTheme="minorHAnsi" w:eastAsia="Arial Unicode MS" w:hAnsiTheme="minorHAnsi" w:cstheme="minorHAnsi"/>
              </w:rPr>
            </w:pPr>
            <w:r>
              <w:rPr>
                <w:rFonts w:asciiTheme="minorHAnsi" w:eastAsia="Arial Unicode MS" w:hAnsiTheme="minorHAnsi" w:cstheme="minorHAnsi"/>
              </w:rPr>
              <w:t>A</w:t>
            </w:r>
            <w:r w:rsidRPr="002E7621">
              <w:rPr>
                <w:rFonts w:asciiTheme="minorHAnsi" w:eastAsia="Arial Unicode MS" w:hAnsiTheme="minorHAnsi" w:cstheme="minorHAnsi"/>
              </w:rPr>
              <w:t>t the B4school vi</w:t>
            </w:r>
            <w:r w:rsidR="00D60FD2">
              <w:rPr>
                <w:rFonts w:asciiTheme="minorHAnsi" w:eastAsia="Arial Unicode MS" w:hAnsiTheme="minorHAnsi" w:cstheme="minorHAnsi"/>
              </w:rPr>
              <w:t xml:space="preserve">sit </w:t>
            </w:r>
            <w:r w:rsidRPr="002E7621">
              <w:rPr>
                <w:rFonts w:asciiTheme="minorHAnsi" w:eastAsia="Arial Unicode MS" w:hAnsiTheme="minorHAnsi" w:cstheme="minorHAnsi"/>
              </w:rPr>
              <w:t xml:space="preserve">carry out an ‘oral health check’ at core contacts (B). The oral health check assessment should determine: </w:t>
            </w:r>
          </w:p>
          <w:p w:rsidR="00D84750" w:rsidRPr="002E7621" w:rsidRDefault="00D84750" w:rsidP="00201CD3">
            <w:pPr>
              <w:pStyle w:val="ListParagraph"/>
              <w:numPr>
                <w:ilvl w:val="0"/>
                <w:numId w:val="21"/>
              </w:numPr>
              <w:spacing w:after="0" w:line="240" w:lineRule="auto"/>
              <w:ind w:left="1071" w:hanging="357"/>
              <w:contextualSpacing w:val="0"/>
              <w:jc w:val="both"/>
              <w:rPr>
                <w:rFonts w:asciiTheme="minorHAnsi" w:eastAsia="Arial Unicode MS" w:hAnsiTheme="minorHAnsi" w:cstheme="minorHAnsi"/>
              </w:rPr>
            </w:pPr>
            <w:r w:rsidRPr="002E7621">
              <w:rPr>
                <w:rFonts w:asciiTheme="minorHAnsi" w:eastAsia="Arial Unicode MS" w:hAnsiTheme="minorHAnsi" w:cstheme="minorHAnsi"/>
              </w:rPr>
              <w:t>enrolment status with the community oral health service or MOHP</w:t>
            </w:r>
          </w:p>
          <w:p w:rsidR="00D84750" w:rsidRPr="002E7621" w:rsidRDefault="00D84750" w:rsidP="00201CD3">
            <w:pPr>
              <w:pStyle w:val="ListParagraph"/>
              <w:numPr>
                <w:ilvl w:val="0"/>
                <w:numId w:val="21"/>
              </w:numPr>
              <w:spacing w:after="0" w:line="240" w:lineRule="auto"/>
              <w:ind w:left="1071" w:hanging="357"/>
              <w:contextualSpacing w:val="0"/>
              <w:jc w:val="both"/>
              <w:rPr>
                <w:rFonts w:asciiTheme="minorHAnsi" w:eastAsia="Arial Unicode MS" w:hAnsiTheme="minorHAnsi" w:cstheme="minorHAnsi"/>
              </w:rPr>
            </w:pPr>
            <w:r w:rsidRPr="002E7621">
              <w:rPr>
                <w:rFonts w:asciiTheme="minorHAnsi" w:eastAsia="Arial Unicode MS" w:hAnsiTheme="minorHAnsi" w:cstheme="minorHAnsi"/>
              </w:rPr>
              <w:t xml:space="preserve">any previous dental visits </w:t>
            </w:r>
          </w:p>
          <w:p w:rsidR="00D84750" w:rsidRPr="002E7621" w:rsidRDefault="00D84750" w:rsidP="00201CD3">
            <w:pPr>
              <w:pStyle w:val="ListParagraph"/>
              <w:numPr>
                <w:ilvl w:val="0"/>
                <w:numId w:val="21"/>
              </w:numPr>
              <w:spacing w:after="0" w:line="240" w:lineRule="auto"/>
              <w:ind w:left="1071" w:hanging="357"/>
              <w:contextualSpacing w:val="0"/>
              <w:jc w:val="both"/>
              <w:rPr>
                <w:rFonts w:asciiTheme="minorHAnsi" w:eastAsia="Arial Unicode MS" w:hAnsiTheme="minorHAnsi" w:cstheme="minorHAnsi"/>
              </w:rPr>
            </w:pPr>
            <w:r w:rsidRPr="002E7621">
              <w:rPr>
                <w:rFonts w:asciiTheme="minorHAnsi" w:eastAsia="Arial Unicode MS" w:hAnsiTheme="minorHAnsi" w:cstheme="minorHAnsi"/>
              </w:rPr>
              <w:t xml:space="preserve">lift the lip for signs of untreated dental decay </w:t>
            </w:r>
          </w:p>
          <w:p w:rsidR="00D84750" w:rsidRPr="002E7621" w:rsidRDefault="00D84750" w:rsidP="00201CD3">
            <w:pPr>
              <w:pStyle w:val="ListParagraph"/>
              <w:numPr>
                <w:ilvl w:val="0"/>
                <w:numId w:val="21"/>
              </w:numPr>
              <w:spacing w:after="0" w:line="240" w:lineRule="auto"/>
              <w:ind w:left="1071" w:hanging="357"/>
              <w:contextualSpacing w:val="0"/>
              <w:jc w:val="both"/>
              <w:rPr>
                <w:rFonts w:asciiTheme="minorHAnsi" w:eastAsia="Arial Unicode MS" w:hAnsiTheme="minorHAnsi" w:cstheme="minorHAnsi"/>
              </w:rPr>
            </w:pPr>
            <w:r w:rsidRPr="002E7621">
              <w:rPr>
                <w:rFonts w:asciiTheme="minorHAnsi" w:eastAsia="Arial Unicode MS" w:hAnsiTheme="minorHAnsi" w:cstheme="minorHAnsi"/>
              </w:rPr>
              <w:t xml:space="preserve">check for barriers to access, and </w:t>
            </w:r>
          </w:p>
          <w:p w:rsidR="00D84750" w:rsidRPr="002E7621" w:rsidRDefault="00D84750" w:rsidP="00201CD3">
            <w:pPr>
              <w:pStyle w:val="ListParagraph"/>
              <w:numPr>
                <w:ilvl w:val="0"/>
                <w:numId w:val="21"/>
              </w:numPr>
              <w:spacing w:after="0" w:line="240" w:lineRule="auto"/>
              <w:ind w:left="1071" w:hanging="357"/>
              <w:contextualSpacing w:val="0"/>
              <w:jc w:val="both"/>
              <w:rPr>
                <w:rFonts w:asciiTheme="minorHAnsi" w:eastAsia="Arial Unicode MS" w:hAnsiTheme="minorHAnsi" w:cstheme="minorHAnsi"/>
              </w:rPr>
            </w:pPr>
            <w:r w:rsidRPr="002E7621">
              <w:rPr>
                <w:rFonts w:asciiTheme="minorHAnsi" w:eastAsia="Arial Unicode MS" w:hAnsiTheme="minorHAnsi" w:cstheme="minorHAnsi"/>
              </w:rPr>
              <w:t>where appropriate, ref</w:t>
            </w:r>
            <w:r>
              <w:rPr>
                <w:rFonts w:asciiTheme="minorHAnsi" w:eastAsia="Arial Unicode MS" w:hAnsiTheme="minorHAnsi" w:cstheme="minorHAnsi"/>
              </w:rPr>
              <w:t>erral to an oral health service</w:t>
            </w:r>
            <w:r w:rsidR="005C7E60">
              <w:rPr>
                <w:rFonts w:asciiTheme="minorHAnsi" w:eastAsia="Arial Unicode MS" w:hAnsiTheme="minorHAnsi" w:cstheme="minorHAnsi"/>
              </w:rPr>
              <w:t xml:space="preserve"> provider for follow up (A,B)</w:t>
            </w:r>
            <w:r w:rsidRPr="002E7621">
              <w:rPr>
                <w:rFonts w:asciiTheme="minorHAnsi" w:eastAsia="Arial Unicode MS" w:hAnsiTheme="minorHAnsi" w:cstheme="minorHAnsi"/>
              </w:rPr>
              <w:t xml:space="preserve">  </w:t>
            </w:r>
          </w:p>
          <w:p w:rsidR="00D84750" w:rsidRPr="002E7621" w:rsidRDefault="00D84750" w:rsidP="00717BFA">
            <w:pPr>
              <w:spacing w:before="120"/>
              <w:ind w:left="425"/>
              <w:jc w:val="both"/>
              <w:rPr>
                <w:rFonts w:asciiTheme="minorHAnsi" w:eastAsia="Arial Unicode MS" w:hAnsiTheme="minorHAnsi" w:cstheme="minorHAnsi"/>
                <w:sz w:val="22"/>
                <w:szCs w:val="22"/>
              </w:rPr>
            </w:pPr>
            <w:r w:rsidRPr="002E7621">
              <w:rPr>
                <w:rFonts w:asciiTheme="minorHAnsi" w:eastAsia="Arial Unicode MS" w:hAnsiTheme="minorHAnsi" w:cstheme="minorHAnsi"/>
                <w:sz w:val="22"/>
                <w:szCs w:val="22"/>
              </w:rPr>
              <w:t>Particular attention should be paid to children completing the B4</w:t>
            </w:r>
            <w:r w:rsidR="00A92AFD">
              <w:rPr>
                <w:rFonts w:asciiTheme="minorHAnsi" w:eastAsia="Arial Unicode MS" w:hAnsiTheme="minorHAnsi" w:cstheme="minorHAnsi"/>
                <w:sz w:val="22"/>
                <w:szCs w:val="22"/>
              </w:rPr>
              <w:t xml:space="preserve"> school c</w:t>
            </w:r>
            <w:r w:rsidRPr="002E7621">
              <w:rPr>
                <w:rFonts w:asciiTheme="minorHAnsi" w:eastAsia="Arial Unicode MS" w:hAnsiTheme="minorHAnsi" w:cstheme="minorHAnsi"/>
                <w:sz w:val="22"/>
                <w:szCs w:val="22"/>
              </w:rPr>
              <w:t xml:space="preserve">heck to identify untreated decay.   </w:t>
            </w:r>
          </w:p>
          <w:p w:rsidR="00D84750" w:rsidRPr="00080DCE" w:rsidRDefault="00D84750" w:rsidP="00717BFA">
            <w:pPr>
              <w:pStyle w:val="ListParagraph"/>
              <w:numPr>
                <w:ilvl w:val="0"/>
                <w:numId w:val="26"/>
              </w:numPr>
              <w:spacing w:before="120" w:after="0" w:line="240" w:lineRule="auto"/>
              <w:ind w:left="425" w:hanging="284"/>
              <w:contextualSpacing w:val="0"/>
              <w:rPr>
                <w:rFonts w:asciiTheme="minorHAnsi" w:eastAsia="Arial Unicode MS" w:hAnsiTheme="minorHAnsi" w:cstheme="minorHAnsi"/>
              </w:rPr>
            </w:pPr>
            <w:r w:rsidRPr="00080DCE">
              <w:rPr>
                <w:rFonts w:asciiTheme="minorHAnsi" w:eastAsia="Arial Unicode MS" w:hAnsiTheme="minorHAnsi" w:cstheme="minorHAnsi"/>
              </w:rPr>
              <w:t xml:space="preserve">Review </w:t>
            </w:r>
            <w:r w:rsidR="00D60FD2" w:rsidRPr="00080DCE">
              <w:rPr>
                <w:rFonts w:asciiTheme="minorHAnsi" w:eastAsia="Arial Unicode MS" w:hAnsiTheme="minorHAnsi" w:cstheme="minorHAnsi"/>
              </w:rPr>
              <w:t xml:space="preserve">enrolment/dental visits </w:t>
            </w:r>
            <w:r w:rsidRPr="00080DCE">
              <w:rPr>
                <w:rFonts w:asciiTheme="minorHAnsi" w:eastAsia="Arial Unicode MS" w:hAnsiTheme="minorHAnsi" w:cstheme="minorHAnsi"/>
              </w:rPr>
              <w:t>at subsequ</w:t>
            </w:r>
            <w:r w:rsidR="00D60FD2" w:rsidRPr="00080DCE">
              <w:rPr>
                <w:rFonts w:asciiTheme="minorHAnsi" w:eastAsia="Arial Unicode MS" w:hAnsiTheme="minorHAnsi" w:cstheme="minorHAnsi"/>
              </w:rPr>
              <w:t>ent core visits and where there are gaps</w:t>
            </w:r>
            <w:r w:rsidRPr="00080DCE">
              <w:rPr>
                <w:rFonts w:asciiTheme="minorHAnsi" w:eastAsia="Arial Unicode MS" w:hAnsiTheme="minorHAnsi" w:cstheme="minorHAnsi"/>
              </w:rPr>
              <w:t>, facilitate access to a community</w:t>
            </w:r>
            <w:r w:rsidR="00080DCE">
              <w:rPr>
                <w:rFonts w:asciiTheme="minorHAnsi" w:eastAsia="Arial Unicode MS" w:hAnsiTheme="minorHAnsi" w:cstheme="minorHAnsi"/>
              </w:rPr>
              <w:t xml:space="preserve"> dental services (A) or MOHP </w:t>
            </w:r>
            <w:r w:rsidR="00D60FD2" w:rsidRPr="00080DCE">
              <w:rPr>
                <w:rFonts w:asciiTheme="minorHAnsi" w:eastAsia="Arial Unicode MS" w:hAnsiTheme="minorHAnsi" w:cstheme="minorHAnsi"/>
              </w:rPr>
              <w:t>and document you have done so</w:t>
            </w:r>
            <w:r w:rsidR="00080DCE">
              <w:rPr>
                <w:rFonts w:asciiTheme="minorHAnsi" w:eastAsia="Arial Unicode MS" w:hAnsiTheme="minorHAnsi" w:cstheme="minorHAnsi"/>
              </w:rPr>
              <w:t xml:space="preserve"> (B)</w:t>
            </w:r>
          </w:p>
          <w:p w:rsidR="00D84750" w:rsidRPr="002E7621" w:rsidRDefault="00D84750" w:rsidP="00A92AFD">
            <w:pPr>
              <w:pStyle w:val="ListParagraph"/>
              <w:numPr>
                <w:ilvl w:val="0"/>
                <w:numId w:val="26"/>
              </w:numPr>
              <w:spacing w:before="60" w:after="60" w:line="240" w:lineRule="auto"/>
              <w:ind w:left="426" w:hanging="284"/>
              <w:contextualSpacing w:val="0"/>
              <w:rPr>
                <w:rFonts w:asciiTheme="minorHAnsi" w:eastAsia="Arial Unicode MS" w:hAnsiTheme="minorHAnsi" w:cstheme="minorHAnsi"/>
              </w:rPr>
            </w:pPr>
            <w:r w:rsidRPr="00080DCE">
              <w:rPr>
                <w:rFonts w:asciiTheme="minorHAnsi" w:eastAsia="Arial Unicode MS" w:hAnsiTheme="minorHAnsi" w:cstheme="minorHAnsi"/>
              </w:rPr>
              <w:t>Promote wh</w:t>
            </w:r>
            <w:r w:rsidR="00A92AFD" w:rsidRPr="00080DCE">
              <w:rPr>
                <w:rFonts w:asciiTheme="minorHAnsi" w:eastAsia="Arial Unicode MS" w:hAnsiTheme="minorHAnsi" w:cstheme="minorHAnsi"/>
              </w:rPr>
              <w:t>ā</w:t>
            </w:r>
            <w:r w:rsidRPr="00080DCE">
              <w:rPr>
                <w:rFonts w:asciiTheme="minorHAnsi" w:eastAsia="Arial Unicode MS" w:hAnsiTheme="minorHAnsi" w:cstheme="minorHAnsi"/>
              </w:rPr>
              <w:t>nau understanding of oral health care and importance of healthy teeth</w:t>
            </w:r>
            <w:r w:rsidR="00717BFA" w:rsidRPr="00080DCE">
              <w:rPr>
                <w:rFonts w:asciiTheme="minorHAnsi" w:eastAsia="Arial Unicode MS" w:hAnsiTheme="minorHAnsi" w:cstheme="minorHAnsi"/>
              </w:rPr>
              <w:t>, good nutrition,</w:t>
            </w:r>
            <w:r w:rsidRPr="00080DCE">
              <w:rPr>
                <w:rFonts w:asciiTheme="minorHAnsi" w:eastAsia="Arial Unicode MS" w:hAnsiTheme="minorHAnsi" w:cstheme="minorHAnsi"/>
              </w:rPr>
              <w:t xml:space="preserve"> and how to avoid dental caries (A,B)</w:t>
            </w:r>
            <w:r w:rsidRPr="002E7621">
              <w:rPr>
                <w:rFonts w:asciiTheme="minorHAnsi" w:eastAsia="Arial Unicode MS" w:hAnsiTheme="minorHAnsi" w:cstheme="minorHAnsi"/>
              </w:rPr>
              <w:t xml:space="preserve"> </w:t>
            </w:r>
          </w:p>
        </w:tc>
      </w:tr>
      <w:tr w:rsidR="00D84750" w:rsidRPr="005F0AA6" w:rsidTr="009C3D5D">
        <w:tc>
          <w:tcPr>
            <w:tcW w:w="9464" w:type="dxa"/>
            <w:tcBorders>
              <w:top w:val="single" w:sz="4" w:space="0" w:color="42D0B8"/>
              <w:left w:val="single" w:sz="4" w:space="0" w:color="42D0B8"/>
              <w:bottom w:val="single" w:sz="4" w:space="0" w:color="42D0B8"/>
              <w:right w:val="single" w:sz="4" w:space="0" w:color="42D0B8"/>
            </w:tcBorders>
            <w:shd w:val="clear" w:color="auto" w:fill="auto"/>
          </w:tcPr>
          <w:p w:rsidR="00D84750" w:rsidRPr="002E7621" w:rsidRDefault="00D84750" w:rsidP="002D3B17">
            <w:pPr>
              <w:spacing w:before="120"/>
              <w:jc w:val="both"/>
              <w:rPr>
                <w:rFonts w:asciiTheme="minorHAnsi" w:eastAsia="Arial Unicode MS" w:hAnsiTheme="minorHAnsi" w:cstheme="minorHAnsi"/>
                <w:b/>
                <w:sz w:val="22"/>
                <w:szCs w:val="22"/>
              </w:rPr>
            </w:pPr>
            <w:r w:rsidRPr="002E7621">
              <w:rPr>
                <w:rFonts w:asciiTheme="minorHAnsi" w:eastAsia="Arial Unicode MS" w:hAnsiTheme="minorHAnsi" w:cstheme="minorHAnsi"/>
                <w:b/>
                <w:sz w:val="22"/>
                <w:szCs w:val="22"/>
              </w:rPr>
              <w:t>FOCUS</w:t>
            </w:r>
          </w:p>
          <w:p w:rsidR="00D84750" w:rsidRPr="002E7621" w:rsidRDefault="00D84750" w:rsidP="002D3B17">
            <w:pPr>
              <w:pStyle w:val="ListParagraph"/>
              <w:numPr>
                <w:ilvl w:val="0"/>
                <w:numId w:val="26"/>
              </w:numPr>
              <w:spacing w:before="60" w:after="0" w:line="240" w:lineRule="auto"/>
              <w:ind w:left="426" w:hanging="284"/>
              <w:contextualSpacing w:val="0"/>
              <w:jc w:val="both"/>
              <w:rPr>
                <w:rFonts w:asciiTheme="minorHAnsi" w:eastAsia="Arial Unicode MS" w:hAnsiTheme="minorHAnsi" w:cstheme="minorHAnsi"/>
              </w:rPr>
            </w:pPr>
            <w:r w:rsidRPr="002E7621">
              <w:rPr>
                <w:rFonts w:asciiTheme="minorHAnsi" w:eastAsia="Arial Unicode MS" w:hAnsiTheme="minorHAnsi" w:cstheme="minorHAnsi"/>
              </w:rPr>
              <w:t>Attend or instigate inte</w:t>
            </w:r>
            <w:r>
              <w:rPr>
                <w:rFonts w:asciiTheme="minorHAnsi" w:eastAsia="Arial Unicode MS" w:hAnsiTheme="minorHAnsi" w:cstheme="minorHAnsi"/>
              </w:rPr>
              <w:t>r-service (oral health care, primary health care practitioner/s</w:t>
            </w:r>
            <w:r w:rsidRPr="002E7621">
              <w:rPr>
                <w:rFonts w:asciiTheme="minorHAnsi" w:eastAsia="Arial Unicode MS" w:hAnsiTheme="minorHAnsi" w:cstheme="minorHAnsi"/>
              </w:rPr>
              <w:t>, WCTO</w:t>
            </w:r>
            <w:r>
              <w:rPr>
                <w:rFonts w:asciiTheme="minorHAnsi" w:eastAsia="Arial Unicode MS" w:hAnsiTheme="minorHAnsi" w:cstheme="minorHAnsi"/>
              </w:rPr>
              <w:t xml:space="preserve"> staff</w:t>
            </w:r>
            <w:r w:rsidR="00717BFA">
              <w:rPr>
                <w:rFonts w:asciiTheme="minorHAnsi" w:eastAsia="Arial Unicode MS" w:hAnsiTheme="minorHAnsi" w:cstheme="minorHAnsi"/>
              </w:rPr>
              <w:t>, lead maternity carers</w:t>
            </w:r>
            <w:r w:rsidRPr="002E7621">
              <w:rPr>
                <w:rFonts w:asciiTheme="minorHAnsi" w:eastAsia="Arial Unicode MS" w:hAnsiTheme="minorHAnsi" w:cstheme="minorHAnsi"/>
              </w:rPr>
              <w:t xml:space="preserve">) meetings as appropriate to ensure </w:t>
            </w:r>
            <w:r w:rsidR="00717BFA">
              <w:rPr>
                <w:rFonts w:asciiTheme="minorHAnsi" w:eastAsia="Arial Unicode MS" w:hAnsiTheme="minorHAnsi" w:cstheme="minorHAnsi"/>
              </w:rPr>
              <w:t>quality and continuity of care.</w:t>
            </w:r>
            <w:r w:rsidRPr="002E7621">
              <w:rPr>
                <w:rFonts w:asciiTheme="minorHAnsi" w:eastAsia="Arial Unicode MS" w:hAnsiTheme="minorHAnsi" w:cstheme="minorHAnsi"/>
              </w:rPr>
              <w:t xml:space="preserve"> These hui may discuss how respective services can facilitate access to and completion of core health checks such as B4 school and immunisation or the development of formal (two-way) referral processes, which includes docum</w:t>
            </w:r>
            <w:r w:rsidR="00080DCE">
              <w:rPr>
                <w:rFonts w:asciiTheme="minorHAnsi" w:eastAsia="Arial Unicode MS" w:hAnsiTheme="minorHAnsi" w:cstheme="minorHAnsi"/>
              </w:rPr>
              <w:t>enting outcome of referral (B)</w:t>
            </w:r>
          </w:p>
          <w:p w:rsidR="00D84750" w:rsidRPr="002E7621" w:rsidRDefault="00D84750" w:rsidP="002D3B17">
            <w:pPr>
              <w:pStyle w:val="ListParagraph"/>
              <w:numPr>
                <w:ilvl w:val="0"/>
                <w:numId w:val="26"/>
              </w:numPr>
              <w:spacing w:before="60" w:after="0" w:line="240" w:lineRule="auto"/>
              <w:ind w:left="426" w:hanging="284"/>
              <w:contextualSpacing w:val="0"/>
              <w:jc w:val="both"/>
              <w:rPr>
                <w:rFonts w:asciiTheme="minorHAnsi" w:eastAsia="Arial Unicode MS" w:hAnsiTheme="minorHAnsi" w:cstheme="minorHAnsi"/>
              </w:rPr>
            </w:pPr>
            <w:r w:rsidRPr="002E7621">
              <w:rPr>
                <w:rFonts w:asciiTheme="minorHAnsi" w:eastAsia="Arial Unicode MS" w:hAnsiTheme="minorHAnsi" w:cstheme="minorHAnsi"/>
              </w:rPr>
              <w:t>Participate in a cross organisation hui to increase awareness of other services being accessed by and available to wh</w:t>
            </w:r>
            <w:r w:rsidR="00A92AFD">
              <w:rPr>
                <w:rFonts w:asciiTheme="minorHAnsi" w:eastAsia="Arial Unicode MS" w:hAnsiTheme="minorHAnsi" w:cstheme="minorHAnsi"/>
              </w:rPr>
              <w:t>ā</w:t>
            </w:r>
            <w:r w:rsidRPr="002E7621">
              <w:rPr>
                <w:rFonts w:asciiTheme="minorHAnsi" w:eastAsia="Arial Unicode MS" w:hAnsiTheme="minorHAnsi" w:cstheme="minorHAnsi"/>
              </w:rPr>
              <w:t>nau (B). This will ensure oral health practitioners can have confidence in the range of programmes, and that they are appropriate for wh</w:t>
            </w:r>
            <w:r w:rsidR="00A92AFD">
              <w:rPr>
                <w:rFonts w:asciiTheme="minorHAnsi" w:eastAsia="Arial Unicode MS" w:hAnsiTheme="minorHAnsi" w:cstheme="minorHAnsi"/>
              </w:rPr>
              <w:t>ā</w:t>
            </w:r>
            <w:r w:rsidRPr="002E7621">
              <w:rPr>
                <w:rFonts w:asciiTheme="minorHAnsi" w:eastAsia="Arial Unicode MS" w:hAnsiTheme="minorHAnsi" w:cstheme="minorHAnsi"/>
              </w:rPr>
              <w:t xml:space="preserve">nau </w:t>
            </w:r>
          </w:p>
          <w:p w:rsidR="00D84750" w:rsidRPr="002E7621" w:rsidRDefault="00D84750" w:rsidP="002D3B17">
            <w:pPr>
              <w:pStyle w:val="ListParagraph"/>
              <w:numPr>
                <w:ilvl w:val="0"/>
                <w:numId w:val="26"/>
              </w:numPr>
              <w:spacing w:before="60" w:after="0" w:line="240" w:lineRule="auto"/>
              <w:ind w:left="426" w:hanging="284"/>
              <w:contextualSpacing w:val="0"/>
              <w:jc w:val="both"/>
              <w:rPr>
                <w:rFonts w:asciiTheme="minorHAnsi" w:eastAsia="Arial Unicode MS" w:hAnsiTheme="minorHAnsi" w:cstheme="minorHAnsi"/>
              </w:rPr>
            </w:pPr>
            <w:r w:rsidRPr="002E7621">
              <w:rPr>
                <w:rFonts w:asciiTheme="minorHAnsi" w:eastAsia="Arial Unicode MS" w:hAnsiTheme="minorHAnsi" w:cstheme="minorHAnsi"/>
              </w:rPr>
              <w:t>Oral health practitioners may consider education relevant to the component of care they are providing (B). For example, MOHP staff may consider education or training in:</w:t>
            </w:r>
          </w:p>
          <w:p w:rsidR="00D84750" w:rsidRPr="002E7621" w:rsidRDefault="00D84750" w:rsidP="00201CD3">
            <w:pPr>
              <w:pStyle w:val="ListParagraph"/>
              <w:numPr>
                <w:ilvl w:val="0"/>
                <w:numId w:val="21"/>
              </w:numPr>
              <w:spacing w:after="0" w:line="240" w:lineRule="auto"/>
              <w:ind w:left="1071" w:hanging="357"/>
              <w:contextualSpacing w:val="0"/>
              <w:jc w:val="both"/>
              <w:rPr>
                <w:rFonts w:asciiTheme="minorHAnsi" w:eastAsia="Arial Unicode MS" w:hAnsiTheme="minorHAnsi" w:cstheme="minorHAnsi"/>
              </w:rPr>
            </w:pPr>
            <w:r w:rsidRPr="002E7621">
              <w:rPr>
                <w:rFonts w:asciiTheme="minorHAnsi" w:eastAsia="Arial Unicode MS" w:hAnsiTheme="minorHAnsi" w:cstheme="minorHAnsi"/>
              </w:rPr>
              <w:t>components of the B4 school programme</w:t>
            </w:r>
          </w:p>
          <w:p w:rsidR="00D84750" w:rsidRPr="002E7621" w:rsidRDefault="00D84750" w:rsidP="00201CD3">
            <w:pPr>
              <w:pStyle w:val="ListParagraph"/>
              <w:numPr>
                <w:ilvl w:val="0"/>
                <w:numId w:val="21"/>
              </w:numPr>
              <w:spacing w:after="0" w:line="240" w:lineRule="auto"/>
              <w:ind w:left="1071" w:hanging="357"/>
              <w:contextualSpacing w:val="0"/>
              <w:jc w:val="both"/>
              <w:rPr>
                <w:rFonts w:asciiTheme="minorHAnsi" w:eastAsia="Arial Unicode MS" w:hAnsiTheme="minorHAnsi" w:cstheme="minorHAnsi"/>
              </w:rPr>
            </w:pPr>
            <w:r w:rsidRPr="002E7621">
              <w:rPr>
                <w:rFonts w:asciiTheme="minorHAnsi" w:eastAsia="Arial Unicode MS" w:hAnsiTheme="minorHAnsi" w:cstheme="minorHAnsi"/>
              </w:rPr>
              <w:t>benefits of immunisation</w:t>
            </w:r>
          </w:p>
          <w:p w:rsidR="00D84750" w:rsidRPr="002E7621" w:rsidRDefault="00D84750" w:rsidP="00201CD3">
            <w:pPr>
              <w:pStyle w:val="ListParagraph"/>
              <w:numPr>
                <w:ilvl w:val="0"/>
                <w:numId w:val="21"/>
              </w:numPr>
              <w:spacing w:after="0" w:line="240" w:lineRule="auto"/>
              <w:ind w:left="1071" w:hanging="357"/>
              <w:contextualSpacing w:val="0"/>
              <w:jc w:val="both"/>
              <w:rPr>
                <w:rFonts w:asciiTheme="minorHAnsi" w:eastAsia="Arial Unicode MS" w:hAnsiTheme="minorHAnsi" w:cstheme="minorHAnsi"/>
              </w:rPr>
            </w:pPr>
            <w:r>
              <w:rPr>
                <w:rFonts w:asciiTheme="minorHAnsi" w:eastAsia="Arial Unicode MS" w:hAnsiTheme="minorHAnsi" w:cstheme="minorHAnsi"/>
              </w:rPr>
              <w:t xml:space="preserve">recognising </w:t>
            </w:r>
            <w:r w:rsidRPr="002E7621">
              <w:rPr>
                <w:rFonts w:asciiTheme="minorHAnsi" w:eastAsia="Arial Unicode MS" w:hAnsiTheme="minorHAnsi" w:cstheme="minorHAnsi"/>
              </w:rPr>
              <w:t>family violence, and local agencies and initiatives</w:t>
            </w:r>
          </w:p>
          <w:p w:rsidR="00D84750" w:rsidRPr="002E7621" w:rsidRDefault="00080DCE" w:rsidP="00201CD3">
            <w:pPr>
              <w:pStyle w:val="ListParagraph"/>
              <w:numPr>
                <w:ilvl w:val="0"/>
                <w:numId w:val="21"/>
              </w:numPr>
              <w:spacing w:after="0" w:line="240" w:lineRule="auto"/>
              <w:ind w:left="1071" w:hanging="357"/>
              <w:contextualSpacing w:val="0"/>
              <w:jc w:val="both"/>
              <w:rPr>
                <w:rFonts w:asciiTheme="minorHAnsi" w:eastAsia="Arial Unicode MS" w:hAnsiTheme="minorHAnsi" w:cstheme="minorHAnsi"/>
              </w:rPr>
            </w:pPr>
            <w:r>
              <w:rPr>
                <w:rFonts w:asciiTheme="minorHAnsi" w:eastAsia="Arial Unicode MS" w:hAnsiTheme="minorHAnsi" w:cstheme="minorHAnsi"/>
              </w:rPr>
              <w:t>Family S</w:t>
            </w:r>
            <w:r w:rsidR="00D84750" w:rsidRPr="002E7621">
              <w:rPr>
                <w:rFonts w:asciiTheme="minorHAnsi" w:eastAsia="Arial Unicode MS" w:hAnsiTheme="minorHAnsi" w:cstheme="minorHAnsi"/>
              </w:rPr>
              <w:t>tart (FS)</w:t>
            </w:r>
          </w:p>
          <w:p w:rsidR="00D84750" w:rsidRPr="002E7621" w:rsidRDefault="00D84750" w:rsidP="00201CD3">
            <w:pPr>
              <w:pStyle w:val="ListParagraph"/>
              <w:numPr>
                <w:ilvl w:val="0"/>
                <w:numId w:val="21"/>
              </w:numPr>
              <w:spacing w:after="0" w:line="240" w:lineRule="auto"/>
              <w:ind w:left="1071" w:hanging="357"/>
              <w:contextualSpacing w:val="0"/>
              <w:jc w:val="both"/>
              <w:rPr>
                <w:rFonts w:asciiTheme="minorHAnsi" w:eastAsia="Arial Unicode MS" w:hAnsiTheme="minorHAnsi" w:cstheme="minorHAnsi"/>
              </w:rPr>
            </w:pPr>
            <w:r w:rsidRPr="002E7621">
              <w:rPr>
                <w:rFonts w:asciiTheme="minorHAnsi" w:eastAsia="Arial Unicode MS" w:hAnsiTheme="minorHAnsi" w:cstheme="minorHAnsi"/>
              </w:rPr>
              <w:t>assessment skills – to identify health need and to take into account everything happening around that child (A)</w:t>
            </w:r>
          </w:p>
          <w:p w:rsidR="00D84750" w:rsidRPr="002E7621" w:rsidRDefault="00D84750" w:rsidP="007D1DA7">
            <w:pPr>
              <w:pStyle w:val="ListParagraph"/>
              <w:numPr>
                <w:ilvl w:val="0"/>
                <w:numId w:val="26"/>
              </w:numPr>
              <w:spacing w:before="60" w:after="60" w:line="240" w:lineRule="auto"/>
              <w:ind w:left="426" w:hanging="284"/>
              <w:contextualSpacing w:val="0"/>
              <w:jc w:val="both"/>
              <w:rPr>
                <w:rFonts w:asciiTheme="minorHAnsi" w:eastAsia="Arial Unicode MS" w:hAnsiTheme="minorHAnsi" w:cstheme="minorHAnsi"/>
              </w:rPr>
            </w:pPr>
            <w:r w:rsidRPr="002E7621">
              <w:rPr>
                <w:rFonts w:asciiTheme="minorHAnsi" w:eastAsia="Arial Unicode MS" w:hAnsiTheme="minorHAnsi" w:cstheme="minorHAnsi"/>
              </w:rPr>
              <w:t>MOHP should consider the</w:t>
            </w:r>
            <w:r w:rsidR="00080DCE">
              <w:rPr>
                <w:rFonts w:asciiTheme="minorHAnsi" w:eastAsia="Arial Unicode MS" w:hAnsiTheme="minorHAnsi" w:cstheme="minorHAnsi"/>
              </w:rPr>
              <w:t>ir</w:t>
            </w:r>
            <w:r w:rsidRPr="002E7621">
              <w:rPr>
                <w:rFonts w:asciiTheme="minorHAnsi" w:eastAsia="Arial Unicode MS" w:hAnsiTheme="minorHAnsi" w:cstheme="minorHAnsi"/>
              </w:rPr>
              <w:t xml:space="preserve"> role in </w:t>
            </w:r>
            <w:r w:rsidR="00080DCE">
              <w:rPr>
                <w:rFonts w:asciiTheme="minorHAnsi" w:eastAsia="Arial Unicode MS" w:hAnsiTheme="minorHAnsi" w:cstheme="minorHAnsi"/>
              </w:rPr>
              <w:t>advocating for</w:t>
            </w:r>
            <w:r w:rsidRPr="002E7621">
              <w:rPr>
                <w:rFonts w:asciiTheme="minorHAnsi" w:eastAsia="Arial Unicode MS" w:hAnsiTheme="minorHAnsi" w:cstheme="minorHAnsi"/>
              </w:rPr>
              <w:t xml:space="preserve"> </w:t>
            </w:r>
            <w:r w:rsidR="00080DCE">
              <w:rPr>
                <w:rFonts w:asciiTheme="minorHAnsi" w:eastAsia="Arial Unicode MS" w:hAnsiTheme="minorHAnsi" w:cstheme="minorHAnsi"/>
              </w:rPr>
              <w:t xml:space="preserve">improving </w:t>
            </w:r>
            <w:r w:rsidRPr="002E7621">
              <w:rPr>
                <w:rFonts w:asciiTheme="minorHAnsi" w:eastAsia="Arial Unicode MS" w:hAnsiTheme="minorHAnsi" w:cstheme="minorHAnsi"/>
              </w:rPr>
              <w:t>child health (B)</w:t>
            </w:r>
          </w:p>
        </w:tc>
      </w:tr>
    </w:tbl>
    <w:p w:rsidR="001E0E9C" w:rsidRPr="002E7621" w:rsidRDefault="002D45D4" w:rsidP="002A2F79">
      <w:pPr>
        <w:autoSpaceDE w:val="0"/>
        <w:autoSpaceDN w:val="0"/>
        <w:adjustRightInd w:val="0"/>
        <w:spacing w:before="240"/>
        <w:jc w:val="both"/>
        <w:rPr>
          <w:rFonts w:asciiTheme="minorHAnsi" w:eastAsia="Arial Unicode MS" w:hAnsiTheme="minorHAnsi" w:cstheme="minorHAnsi"/>
          <w:sz w:val="16"/>
          <w:szCs w:val="16"/>
          <w:lang w:eastAsia="en-NZ"/>
        </w:rPr>
      </w:pPr>
      <w:r w:rsidRPr="002E7621">
        <w:rPr>
          <w:rFonts w:asciiTheme="minorHAnsi" w:eastAsia="Arial Unicode MS" w:hAnsiTheme="minorHAnsi" w:cstheme="minorHAnsi"/>
          <w:sz w:val="16"/>
          <w:szCs w:val="16"/>
          <w:lang w:eastAsia="en-NZ"/>
        </w:rPr>
        <w:t>Key to Grades of Recommendations</w:t>
      </w:r>
    </w:p>
    <w:p w:rsidR="001E0E9C" w:rsidRPr="002E7621" w:rsidRDefault="002D45D4" w:rsidP="002802D9">
      <w:pPr>
        <w:autoSpaceDE w:val="0"/>
        <w:autoSpaceDN w:val="0"/>
        <w:adjustRightInd w:val="0"/>
        <w:jc w:val="both"/>
        <w:rPr>
          <w:rFonts w:asciiTheme="minorHAnsi" w:eastAsia="Arial Unicode MS" w:hAnsiTheme="minorHAnsi" w:cstheme="minorHAnsi"/>
          <w:sz w:val="16"/>
          <w:szCs w:val="16"/>
          <w:lang w:eastAsia="en-NZ"/>
        </w:rPr>
      </w:pPr>
      <w:r w:rsidRPr="002E7621">
        <w:rPr>
          <w:rFonts w:asciiTheme="minorHAnsi" w:eastAsia="Arial Unicode MS" w:hAnsiTheme="minorHAnsi" w:cstheme="minorHAnsi"/>
          <w:sz w:val="16"/>
          <w:szCs w:val="16"/>
          <w:lang w:eastAsia="en-NZ"/>
        </w:rPr>
        <w:t>A: The recommendation is supported by GOOD (strong) evidence.</w:t>
      </w:r>
    </w:p>
    <w:p w:rsidR="0017504A" w:rsidRPr="002E7621" w:rsidRDefault="002D45D4">
      <w:pPr>
        <w:jc w:val="both"/>
        <w:rPr>
          <w:rFonts w:asciiTheme="minorHAnsi" w:eastAsia="Arial Unicode MS" w:hAnsiTheme="minorHAnsi" w:cstheme="minorHAnsi"/>
        </w:rPr>
      </w:pPr>
      <w:r w:rsidRPr="002E7621">
        <w:rPr>
          <w:rFonts w:asciiTheme="minorHAnsi" w:eastAsia="Arial Unicode MS" w:hAnsiTheme="minorHAnsi" w:cstheme="minorHAnsi"/>
          <w:sz w:val="16"/>
          <w:szCs w:val="16"/>
          <w:lang w:eastAsia="en-NZ"/>
        </w:rPr>
        <w:t xml:space="preserve">B: The integrated best practice is supported by the </w:t>
      </w:r>
      <w:r w:rsidR="00DF6FA7" w:rsidRPr="002E7621">
        <w:rPr>
          <w:rFonts w:asciiTheme="minorHAnsi" w:eastAsia="Arial Unicode MS" w:hAnsiTheme="minorHAnsi" w:cstheme="minorHAnsi"/>
          <w:sz w:val="16"/>
          <w:szCs w:val="16"/>
          <w:lang w:eastAsia="en-NZ"/>
        </w:rPr>
        <w:t>Māori</w:t>
      </w:r>
      <w:r w:rsidRPr="002E7621">
        <w:rPr>
          <w:rFonts w:asciiTheme="minorHAnsi" w:eastAsia="Arial Unicode MS" w:hAnsiTheme="minorHAnsi" w:cstheme="minorHAnsi"/>
          <w:sz w:val="16"/>
          <w:szCs w:val="16"/>
          <w:lang w:eastAsia="en-NZ"/>
        </w:rPr>
        <w:t xml:space="preserve"> oral health provider Quality Improvement Group</w:t>
      </w:r>
    </w:p>
    <w:p w:rsidR="00EA3E2E" w:rsidRPr="005C3C2C" w:rsidRDefault="00EA3E2E" w:rsidP="005C3C2C">
      <w:pPr>
        <w:rPr>
          <w:rFonts w:eastAsia="Arial Unicode MS"/>
        </w:rPr>
      </w:pPr>
    </w:p>
    <w:p w:rsidR="0017504A" w:rsidRDefault="00D57B50" w:rsidP="00DA6437">
      <w:pPr>
        <w:pStyle w:val="generalsubheading"/>
      </w:pPr>
      <w:bookmarkStart w:id="27" w:name="_Toc473485929"/>
      <w:r w:rsidRPr="005F0AA6">
        <w:t>OTHER KEY GUIDELINES AND DOCUMENTS</w:t>
      </w:r>
      <w:bookmarkEnd w:id="27"/>
    </w:p>
    <w:p w:rsidR="001C0E0F" w:rsidRPr="002A2F79" w:rsidRDefault="001C0E0F" w:rsidP="004C0A1B">
      <w:pPr>
        <w:spacing w:before="240"/>
        <w:jc w:val="both"/>
        <w:rPr>
          <w:rFonts w:asciiTheme="minorHAnsi" w:eastAsia="Arial Unicode MS" w:hAnsiTheme="minorHAnsi" w:cstheme="minorHAnsi"/>
          <w:sz w:val="22"/>
          <w:szCs w:val="22"/>
        </w:rPr>
      </w:pPr>
      <w:r w:rsidRPr="002A2F79">
        <w:rPr>
          <w:rFonts w:asciiTheme="minorHAnsi" w:eastAsia="Arial Unicode MS" w:hAnsiTheme="minorHAnsi" w:cstheme="minorHAnsi"/>
          <w:sz w:val="22"/>
          <w:szCs w:val="22"/>
        </w:rPr>
        <w:t xml:space="preserve">Ministry of Health, (2002). </w:t>
      </w:r>
      <w:r w:rsidRPr="002A2F79">
        <w:rPr>
          <w:rFonts w:asciiTheme="minorHAnsi" w:eastAsia="Arial Unicode MS" w:hAnsiTheme="minorHAnsi" w:cstheme="minorHAnsi"/>
          <w:i/>
          <w:sz w:val="22"/>
          <w:szCs w:val="22"/>
        </w:rPr>
        <w:t>Well Child National Schedule Handbook</w:t>
      </w:r>
      <w:r w:rsidR="007D1DA7">
        <w:rPr>
          <w:rFonts w:asciiTheme="minorHAnsi" w:eastAsia="Arial Unicode MS" w:hAnsiTheme="minorHAnsi" w:cstheme="minorHAnsi"/>
          <w:sz w:val="22"/>
          <w:szCs w:val="22"/>
        </w:rPr>
        <w:t xml:space="preserve">. Wellington: </w:t>
      </w:r>
      <w:r w:rsidRPr="002A2F79">
        <w:rPr>
          <w:rFonts w:asciiTheme="minorHAnsi" w:eastAsia="Arial Unicode MS" w:hAnsiTheme="minorHAnsi" w:cstheme="minorHAnsi"/>
          <w:sz w:val="22"/>
          <w:szCs w:val="22"/>
        </w:rPr>
        <w:t>Ministry of Health.</w:t>
      </w:r>
    </w:p>
    <w:p w:rsidR="001C0E0F" w:rsidRPr="002A2F79" w:rsidRDefault="001C0E0F">
      <w:pPr>
        <w:jc w:val="both"/>
        <w:rPr>
          <w:rFonts w:asciiTheme="minorHAnsi" w:eastAsia="Arial Unicode MS" w:hAnsiTheme="minorHAnsi" w:cstheme="minorHAnsi"/>
          <w:sz w:val="22"/>
          <w:szCs w:val="22"/>
        </w:rPr>
      </w:pPr>
    </w:p>
    <w:p w:rsidR="0017504A" w:rsidRPr="002A2F79" w:rsidRDefault="00AA223A">
      <w:pPr>
        <w:jc w:val="both"/>
        <w:rPr>
          <w:rFonts w:asciiTheme="minorHAnsi" w:eastAsia="Arial Unicode MS" w:hAnsiTheme="minorHAnsi" w:cstheme="minorHAnsi"/>
          <w:sz w:val="22"/>
          <w:szCs w:val="22"/>
        </w:rPr>
      </w:pPr>
      <w:r w:rsidRPr="002A2F79">
        <w:rPr>
          <w:rFonts w:asciiTheme="minorHAnsi" w:eastAsia="Arial Unicode MS" w:hAnsiTheme="minorHAnsi" w:cstheme="minorHAnsi"/>
          <w:sz w:val="22"/>
          <w:szCs w:val="22"/>
        </w:rPr>
        <w:t xml:space="preserve">Ministry of Health. (2008). </w:t>
      </w:r>
      <w:r w:rsidRPr="002A2F79">
        <w:rPr>
          <w:rFonts w:asciiTheme="minorHAnsi" w:eastAsia="Arial Unicode MS" w:hAnsiTheme="minorHAnsi" w:cstheme="minorHAnsi"/>
          <w:i/>
          <w:sz w:val="22"/>
          <w:szCs w:val="22"/>
        </w:rPr>
        <w:t>The B4 School Check: A handbook for Practitioners</w:t>
      </w:r>
      <w:r w:rsidR="007D1DA7">
        <w:rPr>
          <w:rFonts w:asciiTheme="minorHAnsi" w:eastAsia="Arial Unicode MS" w:hAnsiTheme="minorHAnsi" w:cstheme="minorHAnsi"/>
          <w:sz w:val="22"/>
          <w:szCs w:val="22"/>
        </w:rPr>
        <w:t xml:space="preserve">. Wellington: </w:t>
      </w:r>
      <w:r w:rsidRPr="002A2F79">
        <w:rPr>
          <w:rFonts w:asciiTheme="minorHAnsi" w:eastAsia="Arial Unicode MS" w:hAnsiTheme="minorHAnsi" w:cstheme="minorHAnsi"/>
          <w:sz w:val="22"/>
          <w:szCs w:val="22"/>
        </w:rPr>
        <w:t xml:space="preserve">Ministry of Health. </w:t>
      </w:r>
    </w:p>
    <w:p w:rsidR="0017504A" w:rsidRPr="002A2F79" w:rsidRDefault="0017504A">
      <w:pPr>
        <w:jc w:val="both"/>
        <w:rPr>
          <w:rFonts w:asciiTheme="minorHAnsi" w:eastAsia="Arial Unicode MS" w:hAnsiTheme="minorHAnsi" w:cstheme="minorHAnsi"/>
          <w:sz w:val="22"/>
          <w:szCs w:val="22"/>
        </w:rPr>
      </w:pPr>
    </w:p>
    <w:p w:rsidR="001C0E0F" w:rsidRPr="002A2F79" w:rsidRDefault="001C0E0F">
      <w:pPr>
        <w:jc w:val="both"/>
        <w:rPr>
          <w:rFonts w:asciiTheme="minorHAnsi" w:hAnsiTheme="minorHAnsi" w:cstheme="minorHAnsi"/>
          <w:sz w:val="22"/>
          <w:szCs w:val="22"/>
        </w:rPr>
      </w:pPr>
      <w:r w:rsidRPr="002A2F79">
        <w:rPr>
          <w:rFonts w:asciiTheme="minorHAnsi" w:hAnsiTheme="minorHAnsi" w:cstheme="minorHAnsi"/>
          <w:sz w:val="22"/>
          <w:szCs w:val="22"/>
        </w:rPr>
        <w:t xml:space="preserve">Ministry of Health. (2010). </w:t>
      </w:r>
      <w:r w:rsidRPr="002A2F79">
        <w:rPr>
          <w:rFonts w:asciiTheme="minorHAnsi" w:hAnsiTheme="minorHAnsi" w:cstheme="minorHAnsi"/>
          <w:i/>
          <w:sz w:val="22"/>
          <w:szCs w:val="22"/>
        </w:rPr>
        <w:t>Changes to the Well Child / Tamariki Ora Framework</w:t>
      </w:r>
      <w:r w:rsidRPr="002A2F79">
        <w:rPr>
          <w:rFonts w:asciiTheme="minorHAnsi" w:hAnsiTheme="minorHAnsi" w:cstheme="minorHAnsi"/>
          <w:sz w:val="22"/>
          <w:szCs w:val="22"/>
        </w:rPr>
        <w:t>. Wellington: Ministry of Health.</w:t>
      </w:r>
    </w:p>
    <w:p w:rsidR="001C0E0F" w:rsidRPr="002A2F79" w:rsidRDefault="001C0E0F">
      <w:pPr>
        <w:jc w:val="both"/>
        <w:rPr>
          <w:rFonts w:asciiTheme="minorHAnsi" w:hAnsiTheme="minorHAnsi" w:cstheme="minorHAnsi"/>
          <w:sz w:val="22"/>
          <w:szCs w:val="22"/>
        </w:rPr>
      </w:pPr>
    </w:p>
    <w:p w:rsidR="0017504A" w:rsidRPr="002A2F79" w:rsidRDefault="002D45D4">
      <w:pPr>
        <w:jc w:val="both"/>
        <w:rPr>
          <w:rFonts w:asciiTheme="minorHAnsi" w:eastAsia="Arial Unicode MS" w:hAnsiTheme="minorHAnsi" w:cstheme="minorHAnsi"/>
          <w:sz w:val="22"/>
          <w:szCs w:val="22"/>
        </w:rPr>
      </w:pPr>
      <w:r w:rsidRPr="002A2F79">
        <w:rPr>
          <w:rFonts w:asciiTheme="minorHAnsi" w:eastAsia="Arial Unicode MS" w:hAnsiTheme="minorHAnsi" w:cstheme="minorHAnsi"/>
          <w:sz w:val="22"/>
          <w:szCs w:val="22"/>
        </w:rPr>
        <w:t xml:space="preserve">Ministry of Health. (2011). </w:t>
      </w:r>
      <w:r w:rsidRPr="002A2F79">
        <w:rPr>
          <w:rFonts w:asciiTheme="minorHAnsi" w:eastAsia="Arial Unicode MS" w:hAnsiTheme="minorHAnsi" w:cstheme="minorHAnsi"/>
          <w:i/>
          <w:sz w:val="22"/>
          <w:szCs w:val="22"/>
        </w:rPr>
        <w:t>Immunisation Handbook 2011</w:t>
      </w:r>
      <w:r w:rsidR="007D1DA7">
        <w:rPr>
          <w:rFonts w:asciiTheme="minorHAnsi" w:eastAsia="Arial Unicode MS" w:hAnsiTheme="minorHAnsi" w:cstheme="minorHAnsi"/>
          <w:sz w:val="22"/>
          <w:szCs w:val="22"/>
        </w:rPr>
        <w:t>. Wellington:</w:t>
      </w:r>
      <w:r w:rsidRPr="002A2F79">
        <w:rPr>
          <w:rFonts w:asciiTheme="minorHAnsi" w:eastAsia="Arial Unicode MS" w:hAnsiTheme="minorHAnsi" w:cstheme="minorHAnsi"/>
          <w:sz w:val="22"/>
          <w:szCs w:val="22"/>
        </w:rPr>
        <w:t xml:space="preserve">Ministry of Health. </w:t>
      </w:r>
    </w:p>
    <w:p w:rsidR="0017504A" w:rsidRPr="002A2F79" w:rsidRDefault="0017504A">
      <w:pPr>
        <w:jc w:val="both"/>
        <w:rPr>
          <w:rFonts w:asciiTheme="minorHAnsi" w:eastAsia="Arial Unicode MS" w:hAnsiTheme="minorHAnsi" w:cstheme="minorHAnsi"/>
          <w:sz w:val="22"/>
          <w:szCs w:val="22"/>
        </w:rPr>
      </w:pPr>
    </w:p>
    <w:p w:rsidR="0017504A" w:rsidRPr="002A2F79" w:rsidRDefault="001C0E0F">
      <w:pPr>
        <w:jc w:val="both"/>
        <w:rPr>
          <w:rFonts w:asciiTheme="minorHAnsi" w:eastAsia="Arial Unicode MS" w:hAnsiTheme="minorHAnsi" w:cstheme="minorHAnsi"/>
          <w:sz w:val="22"/>
          <w:szCs w:val="22"/>
        </w:rPr>
      </w:pPr>
      <w:r w:rsidRPr="002A2F79">
        <w:rPr>
          <w:rFonts w:asciiTheme="minorHAnsi" w:eastAsia="Arial Unicode MS" w:hAnsiTheme="minorHAnsi" w:cstheme="minorHAnsi"/>
          <w:sz w:val="22"/>
          <w:szCs w:val="22"/>
        </w:rPr>
        <w:t>Ministry of Health. (2011</w:t>
      </w:r>
      <w:r w:rsidR="002D45D4" w:rsidRPr="002A2F79">
        <w:rPr>
          <w:rFonts w:asciiTheme="minorHAnsi" w:eastAsia="Arial Unicode MS" w:hAnsiTheme="minorHAnsi" w:cstheme="minorHAnsi"/>
          <w:sz w:val="22"/>
          <w:szCs w:val="22"/>
        </w:rPr>
        <w:t xml:space="preserve">). </w:t>
      </w:r>
      <w:r w:rsidR="002D45D4" w:rsidRPr="002A2F79">
        <w:rPr>
          <w:rFonts w:asciiTheme="minorHAnsi" w:eastAsia="Arial Unicode MS" w:hAnsiTheme="minorHAnsi" w:cstheme="minorHAnsi"/>
          <w:i/>
          <w:sz w:val="22"/>
          <w:szCs w:val="22"/>
        </w:rPr>
        <w:t>Targeting Immunisation.</w:t>
      </w:r>
      <w:r w:rsidR="002D45D4" w:rsidRPr="002A2F79">
        <w:rPr>
          <w:rFonts w:asciiTheme="minorHAnsi" w:eastAsia="Arial Unicode MS" w:hAnsiTheme="minorHAnsi" w:cstheme="minorHAnsi"/>
          <w:sz w:val="22"/>
          <w:szCs w:val="22"/>
        </w:rPr>
        <w:t xml:space="preserve"> Wellington:</w:t>
      </w:r>
      <w:r w:rsidR="007D1DA7">
        <w:rPr>
          <w:rFonts w:asciiTheme="minorHAnsi" w:eastAsia="Arial Unicode MS" w:hAnsiTheme="minorHAnsi" w:cstheme="minorHAnsi"/>
          <w:sz w:val="22"/>
          <w:szCs w:val="22"/>
        </w:rPr>
        <w:t xml:space="preserve"> </w:t>
      </w:r>
      <w:r w:rsidR="002D45D4" w:rsidRPr="002A2F79">
        <w:rPr>
          <w:rFonts w:asciiTheme="minorHAnsi" w:eastAsia="Arial Unicode MS" w:hAnsiTheme="minorHAnsi" w:cstheme="minorHAnsi"/>
          <w:sz w:val="22"/>
          <w:szCs w:val="22"/>
        </w:rPr>
        <w:t>Ministry of Health</w:t>
      </w:r>
      <w:r w:rsidRPr="002A2F79">
        <w:rPr>
          <w:rFonts w:asciiTheme="minorHAnsi" w:eastAsia="Arial Unicode MS" w:hAnsiTheme="minorHAnsi" w:cstheme="minorHAnsi"/>
          <w:sz w:val="22"/>
          <w:szCs w:val="22"/>
        </w:rPr>
        <w:t>.</w:t>
      </w:r>
    </w:p>
    <w:p w:rsidR="0017504A" w:rsidRPr="002A2F79" w:rsidRDefault="0017504A">
      <w:pPr>
        <w:jc w:val="both"/>
        <w:rPr>
          <w:rFonts w:asciiTheme="minorHAnsi" w:eastAsia="Arial Unicode MS" w:hAnsiTheme="minorHAnsi" w:cstheme="minorHAnsi"/>
          <w:sz w:val="22"/>
          <w:szCs w:val="22"/>
        </w:rPr>
      </w:pPr>
    </w:p>
    <w:p w:rsidR="0017504A" w:rsidRPr="002A2F79" w:rsidRDefault="008538AC">
      <w:pPr>
        <w:jc w:val="both"/>
        <w:rPr>
          <w:rFonts w:asciiTheme="minorHAnsi" w:eastAsia="Arial Unicode MS" w:hAnsiTheme="minorHAnsi" w:cstheme="minorHAnsi"/>
          <w:sz w:val="22"/>
          <w:szCs w:val="22"/>
        </w:rPr>
      </w:pPr>
      <w:r w:rsidRPr="002A2F79">
        <w:rPr>
          <w:rFonts w:asciiTheme="minorHAnsi" w:eastAsia="Arial Unicode MS" w:hAnsiTheme="minorHAnsi" w:cstheme="minorHAnsi"/>
          <w:sz w:val="22"/>
          <w:szCs w:val="22"/>
        </w:rPr>
        <w:t>Ministry of Health</w:t>
      </w:r>
      <w:r w:rsidR="00D80C21" w:rsidRPr="002A2F79">
        <w:rPr>
          <w:rFonts w:asciiTheme="minorHAnsi" w:eastAsia="Arial Unicode MS" w:hAnsiTheme="minorHAnsi" w:cstheme="minorHAnsi"/>
          <w:sz w:val="22"/>
          <w:szCs w:val="22"/>
        </w:rPr>
        <w:t>.</w:t>
      </w:r>
      <w:r w:rsidRPr="002A2F79">
        <w:rPr>
          <w:rFonts w:asciiTheme="minorHAnsi" w:eastAsia="Arial Unicode MS" w:hAnsiTheme="minorHAnsi" w:cstheme="minorHAnsi"/>
          <w:sz w:val="22"/>
          <w:szCs w:val="22"/>
        </w:rPr>
        <w:t xml:space="preserve"> (2011</w:t>
      </w:r>
      <w:r w:rsidRPr="002A2F79">
        <w:rPr>
          <w:rFonts w:asciiTheme="minorHAnsi" w:eastAsia="Arial Unicode MS" w:hAnsiTheme="minorHAnsi" w:cstheme="minorHAnsi"/>
          <w:i/>
          <w:sz w:val="22"/>
          <w:szCs w:val="22"/>
        </w:rPr>
        <w:t>). Services for Children and Young People – Well Child Tamariki Ora Service Specification. National Framework</w:t>
      </w:r>
      <w:r w:rsidR="007D1DA7">
        <w:rPr>
          <w:rFonts w:asciiTheme="minorHAnsi" w:eastAsia="Arial Unicode MS" w:hAnsiTheme="minorHAnsi" w:cstheme="minorHAnsi"/>
          <w:sz w:val="22"/>
          <w:szCs w:val="22"/>
        </w:rPr>
        <w:t xml:space="preserve">. Wellington: </w:t>
      </w:r>
      <w:r w:rsidRPr="002A2F79">
        <w:rPr>
          <w:rFonts w:asciiTheme="minorHAnsi" w:eastAsia="Arial Unicode MS" w:hAnsiTheme="minorHAnsi" w:cstheme="minorHAnsi"/>
          <w:sz w:val="22"/>
          <w:szCs w:val="22"/>
        </w:rPr>
        <w:t>Ministry of Health.</w:t>
      </w:r>
    </w:p>
    <w:p w:rsidR="0017504A" w:rsidRPr="002A2F79" w:rsidRDefault="0017504A">
      <w:pPr>
        <w:jc w:val="both"/>
        <w:rPr>
          <w:rFonts w:asciiTheme="minorHAnsi" w:hAnsiTheme="minorHAnsi" w:cstheme="minorHAnsi"/>
          <w:sz w:val="22"/>
          <w:szCs w:val="22"/>
        </w:rPr>
      </w:pPr>
    </w:p>
    <w:p w:rsidR="0017504A" w:rsidRDefault="00571F97">
      <w:pPr>
        <w:jc w:val="both"/>
        <w:rPr>
          <w:rFonts w:asciiTheme="minorHAnsi" w:hAnsiTheme="minorHAnsi" w:cstheme="minorHAnsi"/>
          <w:sz w:val="22"/>
          <w:szCs w:val="22"/>
        </w:rPr>
      </w:pPr>
      <w:r w:rsidRPr="002A2F79">
        <w:rPr>
          <w:rFonts w:asciiTheme="minorHAnsi" w:hAnsiTheme="minorHAnsi" w:cstheme="minorHAnsi"/>
          <w:sz w:val="22"/>
          <w:szCs w:val="22"/>
        </w:rPr>
        <w:t xml:space="preserve">Ministry of Health. </w:t>
      </w:r>
      <w:r w:rsidR="00300B49" w:rsidRPr="002A2F79">
        <w:rPr>
          <w:rFonts w:asciiTheme="minorHAnsi" w:hAnsiTheme="minorHAnsi" w:cstheme="minorHAnsi"/>
          <w:sz w:val="22"/>
          <w:szCs w:val="22"/>
        </w:rPr>
        <w:t>(</w:t>
      </w:r>
      <w:r w:rsidRPr="002A2F79">
        <w:rPr>
          <w:rFonts w:asciiTheme="minorHAnsi" w:hAnsiTheme="minorHAnsi" w:cstheme="minorHAnsi"/>
          <w:sz w:val="22"/>
          <w:szCs w:val="22"/>
        </w:rPr>
        <w:t>2012</w:t>
      </w:r>
      <w:r w:rsidR="00300B49" w:rsidRPr="002A2F79">
        <w:rPr>
          <w:rFonts w:asciiTheme="minorHAnsi" w:hAnsiTheme="minorHAnsi" w:cstheme="minorHAnsi"/>
          <w:sz w:val="22"/>
          <w:szCs w:val="22"/>
        </w:rPr>
        <w:t>c)</w:t>
      </w:r>
      <w:r w:rsidRPr="002A2F79">
        <w:rPr>
          <w:rFonts w:asciiTheme="minorHAnsi" w:hAnsiTheme="minorHAnsi" w:cstheme="minorHAnsi"/>
          <w:sz w:val="22"/>
          <w:szCs w:val="22"/>
        </w:rPr>
        <w:t>.The Health of New Zealand Children: Key findings of the New Zealand Health Survey 2011/12. Wellington:</w:t>
      </w:r>
      <w:r w:rsidR="007D1DA7">
        <w:rPr>
          <w:rFonts w:asciiTheme="minorHAnsi" w:hAnsiTheme="minorHAnsi" w:cstheme="minorHAnsi"/>
          <w:sz w:val="22"/>
          <w:szCs w:val="22"/>
        </w:rPr>
        <w:t xml:space="preserve"> </w:t>
      </w:r>
      <w:r w:rsidRPr="002A2F79">
        <w:rPr>
          <w:rFonts w:asciiTheme="minorHAnsi" w:hAnsiTheme="minorHAnsi" w:cstheme="minorHAnsi"/>
          <w:sz w:val="22"/>
          <w:szCs w:val="22"/>
        </w:rPr>
        <w:t>Ministry of Health.</w:t>
      </w:r>
    </w:p>
    <w:p w:rsidR="00C37D18" w:rsidRDefault="00C37D18">
      <w:pPr>
        <w:rPr>
          <w:b/>
          <w:bCs/>
          <w:color w:val="3B2CFC"/>
          <w:szCs w:val="36"/>
        </w:rPr>
      </w:pPr>
      <w:r>
        <w:br w:type="page"/>
      </w:r>
    </w:p>
    <w:p w:rsidR="00C37D18" w:rsidRDefault="00C37D18" w:rsidP="00C37D18">
      <w:pPr>
        <w:pStyle w:val="Heading1"/>
      </w:pPr>
      <w:bookmarkStart w:id="28" w:name="_Toc473485930"/>
      <w:r>
        <w:lastRenderedPageBreak/>
        <w:t>NGĀ ARA TIKA: INTEGRATED PRACTICES FOR ORAL HEALTH AND DIABETES</w:t>
      </w:r>
      <w:bookmarkEnd w:id="28"/>
    </w:p>
    <w:p w:rsidR="00C37D18" w:rsidRDefault="00634C22" w:rsidP="00B34C30">
      <w:pPr>
        <w:pStyle w:val="generalaimheading"/>
      </w:pPr>
      <w:r>
        <mc:AlternateContent>
          <mc:Choice Requires="wps">
            <w:drawing>
              <wp:anchor distT="0" distB="0" distL="114300" distR="114300" simplePos="0" relativeHeight="251669504" behindDoc="0" locked="0" layoutInCell="1" allowOverlap="1">
                <wp:simplePos x="0" y="0"/>
                <wp:positionH relativeFrom="column">
                  <wp:posOffset>-9525</wp:posOffset>
                </wp:positionH>
                <wp:positionV relativeFrom="paragraph">
                  <wp:posOffset>292735</wp:posOffset>
                </wp:positionV>
                <wp:extent cx="5624195" cy="457200"/>
                <wp:effectExtent l="0" t="0" r="0" b="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4195" cy="457200"/>
                        </a:xfrm>
                        <a:prstGeom prst="rect">
                          <a:avLst/>
                        </a:prstGeom>
                        <a:solidFill>
                          <a:srgbClr val="42D0B8">
                            <a:alpha val="10000"/>
                          </a:srgbClr>
                        </a:solidFill>
                        <a:ln w="25400" cap="flat" cmpd="sng" algn="ctr">
                          <a:noFill/>
                          <a:prstDash val="solid"/>
                        </a:ln>
                        <a:effectLst/>
                      </wps:spPr>
                      <wps:txbx>
                        <w:txbxContent>
                          <w:p w:rsidR="00C37D18" w:rsidRPr="00C37D18" w:rsidRDefault="00C37D18" w:rsidP="00C37D18">
                            <w:pPr>
                              <w:rPr>
                                <w:sz w:val="22"/>
                                <w:szCs w:val="22"/>
                              </w:rPr>
                            </w:pPr>
                            <w:r w:rsidRPr="00C37D18">
                              <w:rPr>
                                <w:sz w:val="22"/>
                                <w:szCs w:val="22"/>
                              </w:rPr>
                              <w:t>To be an effective part of comprehensive care for people who are at risk of, or have diabetes.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29" style="position:absolute;left:0;text-align:left;margin-left:-.75pt;margin-top:23.05pt;width:442.85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" fillcolor="#42d0b8" stroked="f" strokeweight="2pt">
                <v:fill opacity="6682f"/>
                <v:path arrowok="t"/>
                <v:textbox>
                  <w:txbxContent>
                    <w:p w:rsidR="00C37D18" w:rsidRPr="00C37D18" w:rsidRDefault="00C37D18" w:rsidP="00C37D18">
                      <w:pPr>
                        <w:rPr>
                          <w:sz w:val="22"/>
                          <w:szCs w:val="22"/>
                        </w:rPr>
                      </w:pPr>
                      <w:r w:rsidRPr="00C37D18">
                        <w:rPr>
                          <w:sz w:val="22"/>
                          <w:szCs w:val="22"/>
                        </w:rPr>
                        <w:t>To be an effective part of comprehensive care for people who are at risk of, or have diabetes.</w:t>
                      </w:r>
                    </w:p>
                  </w:txbxContent>
                </v:textbox>
              </v:rect>
            </w:pict>
          </mc:Fallback>
        </mc:AlternateContent>
      </w:r>
      <w:r>
        <mc:AlternateContent>
          <mc:Choice Requires="wps">
            <w:drawing>
              <wp:anchor distT="0" distB="0" distL="114300" distR="114300" simplePos="0" relativeHeight="251670528" behindDoc="1" locked="0" layoutInCell="1" allowOverlap="1">
                <wp:simplePos x="0" y="0"/>
                <wp:positionH relativeFrom="column">
                  <wp:posOffset>-16510</wp:posOffset>
                </wp:positionH>
                <wp:positionV relativeFrom="paragraph">
                  <wp:posOffset>44450</wp:posOffset>
                </wp:positionV>
                <wp:extent cx="5631180" cy="249555"/>
                <wp:effectExtent l="0" t="0" r="0" b="0"/>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1180" cy="249555"/>
                        </a:xfrm>
                        <a:prstGeom prst="rect">
                          <a:avLst/>
                        </a:prstGeom>
                        <a:solidFill>
                          <a:srgbClr val="42D0B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37D18" w:rsidRDefault="00C37D18" w:rsidP="00C37D1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0" style="position:absolute;left:0;text-align:left;margin-left:-1.3pt;margin-top:3.5pt;width:443.4pt;height:19.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" fillcolor="#42d0b8" stroked="f" strokeweight="2pt">
                <v:path arrowok="t"/>
                <v:textbox>
                  <w:txbxContent>
                    <w:p w:rsidR="00C37D18" w:rsidRDefault="00C37D18" w:rsidP="00C37D18"/>
                  </w:txbxContent>
                </v:textbox>
              </v:rect>
            </w:pict>
          </mc:Fallback>
        </mc:AlternateContent>
      </w:r>
      <w:r w:rsidR="00C37D18">
        <w:t xml:space="preserve">AIM: </w:t>
      </w:r>
    </w:p>
    <w:p w:rsidR="00C37D18" w:rsidRDefault="00C37D18" w:rsidP="00C37D18">
      <w:pPr>
        <w:pStyle w:val="generalparagraph"/>
      </w:pPr>
    </w:p>
    <w:p w:rsidR="00C37D18" w:rsidRDefault="00C37D18" w:rsidP="00C37D18">
      <w:pPr>
        <w:pStyle w:val="generalparagraph"/>
      </w:pPr>
    </w:p>
    <w:p w:rsidR="00C37D18" w:rsidRPr="005F0AA6" w:rsidRDefault="00C37D18" w:rsidP="00C37D18">
      <w:pPr>
        <w:pStyle w:val="generalsubheading"/>
      </w:pPr>
      <w:bookmarkStart w:id="29" w:name="_Toc473485931"/>
      <w:r w:rsidRPr="005F0AA6">
        <w:t>R</w:t>
      </w:r>
      <w:r>
        <w:t>ATIONALE</w:t>
      </w:r>
      <w:bookmarkEnd w:id="29"/>
    </w:p>
    <w:p w:rsidR="00C37D18" w:rsidRPr="00C37D18" w:rsidRDefault="00C37D18" w:rsidP="00C37D18">
      <w:pPr>
        <w:autoSpaceDE w:val="0"/>
        <w:autoSpaceDN w:val="0"/>
        <w:adjustRightInd w:val="0"/>
        <w:spacing w:before="120" w:after="120"/>
        <w:jc w:val="both"/>
        <w:rPr>
          <w:rFonts w:cs="Arial"/>
          <w:sz w:val="22"/>
          <w:szCs w:val="22"/>
        </w:rPr>
      </w:pPr>
      <w:r w:rsidRPr="00C37D18">
        <w:rPr>
          <w:rFonts w:cs="Arial"/>
          <w:sz w:val="22"/>
          <w:szCs w:val="22"/>
        </w:rPr>
        <w:t xml:space="preserve">Diabetes is a major health problem, and is a leading cause of morbidity and mortality in </w:t>
      </w:r>
      <w:r w:rsidR="005C7E60">
        <w:rPr>
          <w:rFonts w:cs="Arial"/>
          <w:sz w:val="22"/>
          <w:szCs w:val="22"/>
        </w:rPr>
        <w:t xml:space="preserve">Aotearoa </w:t>
      </w:r>
      <w:r w:rsidRPr="00C37D18">
        <w:rPr>
          <w:rFonts w:cs="Arial"/>
          <w:sz w:val="22"/>
          <w:szCs w:val="22"/>
        </w:rPr>
        <w:t xml:space="preserve">New Zealand (MoH, 2009). It is also an area where significant disparities exist in both prevalence and outcomes. For example: </w:t>
      </w:r>
    </w:p>
    <w:p w:rsidR="00C37D18" w:rsidRPr="00C37D18" w:rsidRDefault="00C37D18" w:rsidP="00C37D18">
      <w:pPr>
        <w:pStyle w:val="ListParagraph"/>
        <w:numPr>
          <w:ilvl w:val="0"/>
          <w:numId w:val="33"/>
        </w:numPr>
        <w:autoSpaceDE w:val="0"/>
        <w:autoSpaceDN w:val="0"/>
        <w:adjustRightInd w:val="0"/>
        <w:spacing w:before="120" w:after="120"/>
        <w:jc w:val="both"/>
        <w:rPr>
          <w:rFonts w:cs="Arial"/>
        </w:rPr>
      </w:pPr>
      <w:r w:rsidRPr="00C37D18">
        <w:rPr>
          <w:rFonts w:cs="Arial"/>
        </w:rPr>
        <w:t>Diabetes is almost three times more common in Māori than non-Māori</w:t>
      </w:r>
    </w:p>
    <w:p w:rsidR="00C37D18" w:rsidRPr="00C37D18" w:rsidRDefault="00C37D18" w:rsidP="00C37D18">
      <w:pPr>
        <w:pStyle w:val="ListParagraph"/>
        <w:numPr>
          <w:ilvl w:val="0"/>
          <w:numId w:val="33"/>
        </w:numPr>
        <w:autoSpaceDE w:val="0"/>
        <w:autoSpaceDN w:val="0"/>
        <w:adjustRightInd w:val="0"/>
        <w:spacing w:before="120" w:after="120"/>
        <w:jc w:val="both"/>
        <w:rPr>
          <w:rFonts w:cs="Arial"/>
        </w:rPr>
      </w:pPr>
      <w:r w:rsidRPr="00C37D18">
        <w:rPr>
          <w:rFonts w:cs="Arial"/>
        </w:rPr>
        <w:t xml:space="preserve">The mortality rate for Māori with type 2 diabetes is seven times higher than non-Māori </w:t>
      </w:r>
    </w:p>
    <w:p w:rsidR="00C37D18" w:rsidRPr="00C37D18" w:rsidRDefault="00C37D18" w:rsidP="00C37D18">
      <w:pPr>
        <w:pStyle w:val="ListParagraph"/>
        <w:numPr>
          <w:ilvl w:val="0"/>
          <w:numId w:val="33"/>
        </w:numPr>
        <w:autoSpaceDE w:val="0"/>
        <w:autoSpaceDN w:val="0"/>
        <w:adjustRightInd w:val="0"/>
        <w:spacing w:before="120" w:after="120"/>
        <w:jc w:val="both"/>
        <w:rPr>
          <w:rFonts w:cs="Arial"/>
        </w:rPr>
      </w:pPr>
      <w:r w:rsidRPr="00C37D18">
        <w:rPr>
          <w:rFonts w:cs="Arial"/>
        </w:rPr>
        <w:t xml:space="preserve">Māori aged between 45-64 years have a death rate due to diabetes nine times higher than for non-Māori of the same age </w:t>
      </w:r>
    </w:p>
    <w:p w:rsidR="00C37D18" w:rsidRPr="00C37D18" w:rsidRDefault="00C37D18" w:rsidP="00C37D18">
      <w:pPr>
        <w:pStyle w:val="ListParagraph"/>
        <w:numPr>
          <w:ilvl w:val="0"/>
          <w:numId w:val="33"/>
        </w:numPr>
        <w:autoSpaceDE w:val="0"/>
        <w:autoSpaceDN w:val="0"/>
        <w:adjustRightInd w:val="0"/>
        <w:spacing w:before="120" w:after="120"/>
        <w:jc w:val="both"/>
        <w:rPr>
          <w:rFonts w:cs="Arial"/>
        </w:rPr>
      </w:pPr>
      <w:r w:rsidRPr="00C37D18">
        <w:rPr>
          <w:rFonts w:cs="Arial"/>
        </w:rPr>
        <w:t xml:space="preserve">Māori women more likely to die from type 2 diabetes at 13 times the rate of non-Māori women, and Māori men at 10 times the rate of non-Māori men (Robson &amp; Harris, 2007). </w:t>
      </w:r>
    </w:p>
    <w:p w:rsidR="00C37D18" w:rsidRPr="00C37D18" w:rsidRDefault="00C37D18" w:rsidP="00C37D18">
      <w:pPr>
        <w:autoSpaceDE w:val="0"/>
        <w:autoSpaceDN w:val="0"/>
        <w:adjustRightInd w:val="0"/>
        <w:spacing w:before="120" w:after="120"/>
        <w:jc w:val="both"/>
        <w:rPr>
          <w:rFonts w:cs="Arial"/>
          <w:sz w:val="22"/>
          <w:szCs w:val="22"/>
        </w:rPr>
      </w:pPr>
      <w:r w:rsidRPr="00C37D18">
        <w:rPr>
          <w:rFonts w:cs="Arial"/>
          <w:sz w:val="22"/>
          <w:szCs w:val="22"/>
        </w:rPr>
        <w:t xml:space="preserve">Diabetic complications are disproportionately higher for Māori than non-Māori (Robson et al, 2009); these complications include renal failure, lower limb amputation, eye problems, and heart disease (Robson et al, 2009). Diabetes accelerates </w:t>
      </w:r>
      <w:r w:rsidRPr="00C37D18">
        <w:rPr>
          <w:sz w:val="22"/>
          <w:szCs w:val="22"/>
        </w:rPr>
        <w:t>atherosclerosis and the relationship between diabetes and cardiovascular disease (CVD) is well known; people with</w:t>
      </w:r>
      <w:r w:rsidRPr="00C37D18">
        <w:rPr>
          <w:rFonts w:cs="Arial"/>
          <w:sz w:val="22"/>
          <w:szCs w:val="22"/>
        </w:rPr>
        <w:t xml:space="preserve"> type 2 diabetes are two to four times more likely to have CVD, and CVD is the leading cause of death in people with diabetes (MoH,</w:t>
      </w:r>
      <w:r w:rsidR="005C7E60">
        <w:rPr>
          <w:rFonts w:cs="Arial"/>
          <w:sz w:val="22"/>
          <w:szCs w:val="22"/>
        </w:rPr>
        <w:t xml:space="preserve"> 2011). It is essential that</w:t>
      </w:r>
      <w:r w:rsidRPr="00C37D18">
        <w:rPr>
          <w:rFonts w:cs="Arial"/>
          <w:sz w:val="22"/>
          <w:szCs w:val="22"/>
        </w:rPr>
        <w:t xml:space="preserve"> oral health practitioners working with at-risk population groups have a thorough knowledge of diabetes, its prevention, symptoms, treatment, and management. </w:t>
      </w:r>
    </w:p>
    <w:p w:rsidR="00C37D18" w:rsidRPr="00C37D18" w:rsidRDefault="00C37D18" w:rsidP="00C37D18">
      <w:pPr>
        <w:autoSpaceDE w:val="0"/>
        <w:autoSpaceDN w:val="0"/>
        <w:adjustRightInd w:val="0"/>
        <w:spacing w:before="120" w:after="120"/>
        <w:jc w:val="both"/>
        <w:rPr>
          <w:rFonts w:cs="Arial"/>
          <w:sz w:val="22"/>
          <w:szCs w:val="22"/>
        </w:rPr>
      </w:pPr>
      <w:r w:rsidRPr="00C37D18">
        <w:rPr>
          <w:rFonts w:cs="Arial"/>
          <w:sz w:val="22"/>
          <w:szCs w:val="22"/>
        </w:rPr>
        <w:t>Progress to devel</w:t>
      </w:r>
      <w:r w:rsidR="005C7E60">
        <w:rPr>
          <w:rFonts w:cs="Arial"/>
          <w:sz w:val="22"/>
          <w:szCs w:val="22"/>
        </w:rPr>
        <w:t>op better integrated oral</w:t>
      </w:r>
      <w:r w:rsidRPr="00C37D18">
        <w:rPr>
          <w:rFonts w:cs="Arial"/>
          <w:sz w:val="22"/>
          <w:szCs w:val="22"/>
        </w:rPr>
        <w:t xml:space="preserve"> and general health practices has been slow, despite good evidence that supports the pivotal role of oral health care and dentistry in the early detection, prevention, and management of care for people with diabetes (Ding et al, 2011). There is an established link between good oral health and good general health. Acute or chronic dental problems can be compounding factors in medical problems such as poorly controlled diabetes, smoking related illnesses, and people requiring a dental exam or dental certification prior to surgery (Robson et al, 2011). </w:t>
      </w:r>
    </w:p>
    <w:p w:rsidR="00C37D18" w:rsidRPr="00C37D18" w:rsidRDefault="00C37D18" w:rsidP="00C37D18">
      <w:pPr>
        <w:autoSpaceDE w:val="0"/>
        <w:autoSpaceDN w:val="0"/>
        <w:adjustRightInd w:val="0"/>
        <w:spacing w:before="120" w:after="120"/>
        <w:jc w:val="both"/>
        <w:rPr>
          <w:sz w:val="22"/>
          <w:szCs w:val="22"/>
        </w:rPr>
      </w:pPr>
      <w:r w:rsidRPr="00C37D18">
        <w:rPr>
          <w:rFonts w:cs="Arial"/>
          <w:sz w:val="22"/>
          <w:szCs w:val="22"/>
        </w:rPr>
        <w:t>The Ministry of Health’s policy for oral health ‘Good Oral Health for All, For Life’ states, ‘</w:t>
      </w:r>
      <w:r w:rsidRPr="00C37D18">
        <w:rPr>
          <w:rFonts w:cs="Arial"/>
          <w:i/>
          <w:sz w:val="22"/>
          <w:szCs w:val="22"/>
        </w:rPr>
        <w:t xml:space="preserve">primary care practitioners are suitably placed to identify individuals at high risk of developing poor oral health, or to refer an individual with pain or signs of oral disease on to a dental professional </w:t>
      </w:r>
      <w:r w:rsidRPr="00C37D18">
        <w:rPr>
          <w:rFonts w:cs="Arial"/>
          <w:sz w:val="22"/>
          <w:szCs w:val="22"/>
        </w:rPr>
        <w:t>(MoH, 2006). Growing international evidence also identifies the need for greater coordination and collaboration between medical and dental providers for patients with diabetes by developing an integrated model of care that is more tailored around the needs and risks of the patient (</w:t>
      </w:r>
      <w:r w:rsidRPr="00C37D18">
        <w:rPr>
          <w:sz w:val="22"/>
          <w:szCs w:val="22"/>
        </w:rPr>
        <w:t>Hummel &amp; Gandara, 2011).</w:t>
      </w:r>
    </w:p>
    <w:p w:rsidR="00C37D18" w:rsidRPr="00C37D18" w:rsidRDefault="00C37D18" w:rsidP="00C37D18">
      <w:pPr>
        <w:autoSpaceDE w:val="0"/>
        <w:autoSpaceDN w:val="0"/>
        <w:adjustRightInd w:val="0"/>
        <w:spacing w:before="120" w:after="120"/>
        <w:jc w:val="both"/>
        <w:rPr>
          <w:sz w:val="22"/>
          <w:szCs w:val="22"/>
        </w:rPr>
      </w:pPr>
      <w:r w:rsidRPr="00C37D18">
        <w:rPr>
          <w:sz w:val="22"/>
          <w:szCs w:val="22"/>
        </w:rPr>
        <w:t xml:space="preserve">Māori oral health providers are </w:t>
      </w:r>
      <w:r w:rsidR="005C7E60" w:rsidRPr="00C37D18">
        <w:rPr>
          <w:sz w:val="22"/>
          <w:szCs w:val="22"/>
        </w:rPr>
        <w:t>committed</w:t>
      </w:r>
      <w:r w:rsidRPr="00C37D18">
        <w:rPr>
          <w:sz w:val="22"/>
          <w:szCs w:val="22"/>
        </w:rPr>
        <w:t xml:space="preserve"> to efforts to reduce health </w:t>
      </w:r>
      <w:r w:rsidR="005C7E60" w:rsidRPr="00C37D18">
        <w:rPr>
          <w:sz w:val="22"/>
          <w:szCs w:val="22"/>
        </w:rPr>
        <w:t>inequalities</w:t>
      </w:r>
      <w:r w:rsidRPr="00C37D18">
        <w:rPr>
          <w:sz w:val="22"/>
          <w:szCs w:val="22"/>
        </w:rPr>
        <w:t xml:space="preserve"> and improve access to care for people with diabetes, by being part of a comprehensive package of care necessary for maintaining good oral health, and overall good health and well-being.  </w:t>
      </w:r>
    </w:p>
    <w:p w:rsidR="00F8742A" w:rsidRDefault="00F8742A">
      <w:pPr>
        <w:rPr>
          <w:rFonts w:asciiTheme="minorHAnsi" w:eastAsia="Arial Unicode MS" w:hAnsiTheme="minorHAnsi" w:cstheme="minorHAnsi"/>
          <w:b/>
          <w:bCs/>
          <w:kern w:val="32"/>
          <w:sz w:val="28"/>
          <w:szCs w:val="28"/>
          <w:lang w:val="en-AU"/>
        </w:rPr>
      </w:pPr>
      <w:bookmarkStart w:id="30" w:name="_Toc473485932"/>
      <w:r>
        <w:br w:type="page"/>
      </w:r>
    </w:p>
    <w:p w:rsidR="00C37D18" w:rsidRDefault="00C37D18" w:rsidP="00C37D18">
      <w:pPr>
        <w:pStyle w:val="generalsubheading"/>
      </w:pPr>
      <w:r>
        <w:lastRenderedPageBreak/>
        <w:t>INTEGRATED PRACTICES</w:t>
      </w:r>
      <w:bookmarkEnd w:id="30"/>
    </w:p>
    <w:tbl>
      <w:tblPr>
        <w:tblW w:w="0" w:type="auto"/>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ayout w:type="fixed"/>
        <w:tblLook w:val="04A0" w:firstRow="1" w:lastRow="0" w:firstColumn="1" w:lastColumn="0" w:noHBand="0" w:noVBand="1"/>
      </w:tblPr>
      <w:tblGrid>
        <w:gridCol w:w="9039"/>
      </w:tblGrid>
      <w:tr w:rsidR="00C37D18" w:rsidTr="00C37D18">
        <w:trPr>
          <w:trHeight w:val="414"/>
        </w:trPr>
        <w:tc>
          <w:tcPr>
            <w:tcW w:w="9039" w:type="dxa"/>
            <w:tcBorders>
              <w:top w:val="single" w:sz="4" w:space="0" w:color="42D0B8"/>
              <w:left w:val="single" w:sz="8" w:space="0" w:color="9BBB59" w:themeColor="accent3"/>
              <w:bottom w:val="single" w:sz="4" w:space="0" w:color="42D0B8"/>
              <w:right w:val="single" w:sz="8" w:space="0" w:color="9BBB59" w:themeColor="accent3"/>
            </w:tcBorders>
            <w:shd w:val="clear" w:color="auto" w:fill="42D0B8"/>
            <w:hideMark/>
          </w:tcPr>
          <w:p w:rsidR="00C37D18" w:rsidRDefault="00C37D18" w:rsidP="00C37D18">
            <w:pPr>
              <w:spacing w:before="120" w:after="120"/>
              <w:jc w:val="both"/>
              <w:rPr>
                <w:rFonts w:eastAsia="Arial Unicode MS" w:cstheme="minorHAnsi"/>
                <w:b/>
                <w:color w:val="FFFFFF" w:themeColor="background1"/>
              </w:rPr>
            </w:pPr>
            <w:r>
              <w:rPr>
                <w:rFonts w:eastAsia="Arial Unicode MS" w:cstheme="minorHAnsi"/>
                <w:b/>
                <w:color w:val="FFFFFF" w:themeColor="background1"/>
              </w:rPr>
              <w:t>KEY POINTS</w:t>
            </w:r>
          </w:p>
        </w:tc>
      </w:tr>
      <w:tr w:rsidR="00C37D18" w:rsidTr="00C37D18">
        <w:trPr>
          <w:trHeight w:val="1501"/>
        </w:trPr>
        <w:tc>
          <w:tcPr>
            <w:tcW w:w="9039" w:type="dxa"/>
            <w:tcBorders>
              <w:top w:val="single" w:sz="4" w:space="0" w:color="42D0B8"/>
              <w:left w:val="single" w:sz="4" w:space="0" w:color="42D0B8"/>
              <w:bottom w:val="single" w:sz="4" w:space="0" w:color="42D0B8"/>
              <w:right w:val="single" w:sz="4" w:space="0" w:color="42D0B8"/>
            </w:tcBorders>
            <w:hideMark/>
          </w:tcPr>
          <w:p w:rsidR="00C37D18" w:rsidRPr="003D5300" w:rsidRDefault="00C37D18" w:rsidP="00C37D18">
            <w:pPr>
              <w:pStyle w:val="ListParagraph"/>
              <w:numPr>
                <w:ilvl w:val="0"/>
                <w:numId w:val="26"/>
              </w:numPr>
              <w:spacing w:before="60" w:after="0" w:line="240" w:lineRule="auto"/>
              <w:ind w:left="426" w:hanging="284"/>
              <w:jc w:val="both"/>
              <w:rPr>
                <w:rFonts w:asciiTheme="minorHAnsi" w:eastAsia="Arial Unicode MS" w:hAnsiTheme="minorHAnsi" w:cstheme="minorHAnsi"/>
              </w:rPr>
            </w:pPr>
            <w:r>
              <w:rPr>
                <w:rFonts w:asciiTheme="minorHAnsi" w:eastAsia="Arial Unicode MS" w:hAnsiTheme="minorHAnsi" w:cstheme="minorHAnsi"/>
              </w:rPr>
              <w:t>Periodontal disease is more common in people with diabetes; about one-third of diabetics have severe periodontal disease</w:t>
            </w:r>
          </w:p>
          <w:p w:rsidR="00C37D18" w:rsidRPr="007E2AAE" w:rsidRDefault="00C37D18" w:rsidP="00C37D18">
            <w:pPr>
              <w:pStyle w:val="ListParagraph"/>
              <w:numPr>
                <w:ilvl w:val="0"/>
                <w:numId w:val="26"/>
              </w:numPr>
              <w:spacing w:before="60" w:after="0" w:line="240" w:lineRule="auto"/>
              <w:ind w:left="426" w:hanging="284"/>
              <w:jc w:val="both"/>
              <w:rPr>
                <w:rFonts w:asciiTheme="minorHAnsi" w:eastAsia="Arial Unicode MS" w:hAnsiTheme="minorHAnsi" w:cstheme="minorHAnsi"/>
              </w:rPr>
            </w:pPr>
            <w:r w:rsidRPr="007E2AAE">
              <w:rPr>
                <w:rFonts w:asciiTheme="minorHAnsi" w:eastAsia="Arial Unicode MS" w:hAnsiTheme="minorHAnsi" w:cstheme="minorHAnsi"/>
              </w:rPr>
              <w:t>Ensuring equity of access to quality oral health care will help reduce the risk of developing complications for those with diabetes</w:t>
            </w:r>
          </w:p>
          <w:p w:rsidR="00C37D18" w:rsidRPr="007E2AAE" w:rsidRDefault="00C37D18" w:rsidP="00C37D18">
            <w:pPr>
              <w:pStyle w:val="ListParagraph"/>
              <w:numPr>
                <w:ilvl w:val="0"/>
                <w:numId w:val="26"/>
              </w:numPr>
              <w:spacing w:before="60" w:after="0" w:line="240" w:lineRule="auto"/>
              <w:ind w:left="426" w:hanging="284"/>
              <w:jc w:val="both"/>
              <w:rPr>
                <w:rFonts w:asciiTheme="minorHAnsi" w:eastAsia="Arial Unicode MS" w:hAnsiTheme="minorHAnsi" w:cstheme="minorHAnsi"/>
              </w:rPr>
            </w:pPr>
            <w:r w:rsidRPr="007E2AAE">
              <w:rPr>
                <w:rFonts w:asciiTheme="minorHAnsi" w:eastAsia="Arial Unicode MS" w:hAnsiTheme="minorHAnsi" w:cstheme="minorHAnsi"/>
              </w:rPr>
              <w:t>Informing diabetic patients about the relationship between dia</w:t>
            </w:r>
            <w:r>
              <w:rPr>
                <w:rFonts w:asciiTheme="minorHAnsi" w:eastAsia="Arial Unicode MS" w:hAnsiTheme="minorHAnsi" w:cstheme="minorHAnsi"/>
              </w:rPr>
              <w:t>betes and periodontal disease as</w:t>
            </w:r>
            <w:r w:rsidRPr="007E2AAE">
              <w:rPr>
                <w:rFonts w:asciiTheme="minorHAnsi" w:eastAsia="Arial Unicode MS" w:hAnsiTheme="minorHAnsi" w:cstheme="minorHAnsi"/>
              </w:rPr>
              <w:t xml:space="preserve"> an important part of maintaining good oral </w:t>
            </w:r>
            <w:r>
              <w:rPr>
                <w:rFonts w:asciiTheme="minorHAnsi" w:eastAsia="Arial Unicode MS" w:hAnsiTheme="minorHAnsi" w:cstheme="minorHAnsi"/>
              </w:rPr>
              <w:t xml:space="preserve">and general </w:t>
            </w:r>
            <w:r w:rsidRPr="007E2AAE">
              <w:rPr>
                <w:rFonts w:asciiTheme="minorHAnsi" w:eastAsia="Arial Unicode MS" w:hAnsiTheme="minorHAnsi" w:cstheme="minorHAnsi"/>
              </w:rPr>
              <w:t xml:space="preserve">health </w:t>
            </w:r>
          </w:p>
          <w:p w:rsidR="00C37D18" w:rsidRPr="007E2AAE" w:rsidRDefault="00C37D18" w:rsidP="00C37D18">
            <w:pPr>
              <w:pStyle w:val="ListParagraph"/>
              <w:numPr>
                <w:ilvl w:val="0"/>
                <w:numId w:val="26"/>
              </w:numPr>
              <w:spacing w:before="60" w:after="0" w:line="240" w:lineRule="auto"/>
              <w:ind w:left="426" w:hanging="284"/>
              <w:jc w:val="both"/>
              <w:rPr>
                <w:rFonts w:asciiTheme="minorHAnsi" w:eastAsia="Arial Unicode MS" w:hAnsiTheme="minorHAnsi" w:cstheme="minorHAnsi"/>
              </w:rPr>
            </w:pPr>
            <w:r w:rsidRPr="007E2AAE">
              <w:rPr>
                <w:rFonts w:asciiTheme="minorHAnsi" w:eastAsia="Arial Unicode MS" w:hAnsiTheme="minorHAnsi" w:cstheme="minorHAnsi"/>
              </w:rPr>
              <w:t>The closer alignment of oral health with general health creates a significant opportunity for dental health professionals to help reduce the incidence and adverse impact of chronic conditions on the quality life of their patients</w:t>
            </w:r>
          </w:p>
          <w:p w:rsidR="00C37D18" w:rsidRPr="0050304D" w:rsidRDefault="00C37D18" w:rsidP="00C37D18">
            <w:pPr>
              <w:pStyle w:val="ListParagraph"/>
              <w:numPr>
                <w:ilvl w:val="0"/>
                <w:numId w:val="26"/>
              </w:numPr>
              <w:spacing w:before="60" w:after="0" w:line="240" w:lineRule="auto"/>
              <w:ind w:left="426" w:hanging="284"/>
              <w:jc w:val="both"/>
              <w:rPr>
                <w:rFonts w:asciiTheme="minorHAnsi" w:eastAsia="Arial Unicode MS" w:hAnsiTheme="minorHAnsi" w:cstheme="minorHAnsi"/>
              </w:rPr>
            </w:pPr>
            <w:r>
              <w:rPr>
                <w:rFonts w:asciiTheme="minorHAnsi" w:hAnsiTheme="minorHAnsi" w:cs="Arial"/>
              </w:rPr>
              <w:t>E</w:t>
            </w:r>
            <w:r w:rsidRPr="00F2677D">
              <w:rPr>
                <w:rFonts w:asciiTheme="minorHAnsi" w:hAnsiTheme="minorHAnsi" w:cs="Arial"/>
              </w:rPr>
              <w:t xml:space="preserve">ffective diabetes management and oral health are impossible to attain without </w:t>
            </w:r>
            <w:r>
              <w:rPr>
                <w:rFonts w:asciiTheme="minorHAnsi" w:hAnsiTheme="minorHAnsi" w:cs="Arial"/>
              </w:rPr>
              <w:t>self-management</w:t>
            </w:r>
            <w:r w:rsidRPr="00F2677D">
              <w:rPr>
                <w:rFonts w:asciiTheme="minorHAnsi" w:hAnsiTheme="minorHAnsi" w:cs="Arial"/>
              </w:rPr>
              <w:t xml:space="preserve"> skills</w:t>
            </w:r>
          </w:p>
        </w:tc>
      </w:tr>
      <w:tr w:rsidR="00C37D18" w:rsidTr="00C37D18">
        <w:trPr>
          <w:trHeight w:val="414"/>
        </w:trPr>
        <w:tc>
          <w:tcPr>
            <w:tcW w:w="9039" w:type="dxa"/>
            <w:tcBorders>
              <w:top w:val="single" w:sz="4" w:space="0" w:color="42D0B8"/>
              <w:left w:val="single" w:sz="8" w:space="0" w:color="9BBB59" w:themeColor="accent3"/>
              <w:bottom w:val="single" w:sz="4" w:space="0" w:color="42D0B8"/>
              <w:right w:val="single" w:sz="8" w:space="0" w:color="9BBB59" w:themeColor="accent3"/>
            </w:tcBorders>
            <w:shd w:val="clear" w:color="auto" w:fill="42D0B8"/>
            <w:hideMark/>
          </w:tcPr>
          <w:p w:rsidR="00C37D18" w:rsidRDefault="00C37D18" w:rsidP="00C37D18">
            <w:pPr>
              <w:spacing w:before="120" w:after="120"/>
              <w:jc w:val="both"/>
              <w:rPr>
                <w:rFonts w:eastAsia="Arial Unicode MS" w:cstheme="minorHAnsi"/>
                <w:b/>
                <w:color w:val="FFFFFF" w:themeColor="background1"/>
              </w:rPr>
            </w:pPr>
            <w:r>
              <w:rPr>
                <w:rFonts w:eastAsia="Arial Unicode MS" w:cstheme="minorHAnsi"/>
                <w:b/>
                <w:color w:val="FFFFFF" w:themeColor="background1"/>
              </w:rPr>
              <w:t>RECOMMENDATIONS</w:t>
            </w:r>
          </w:p>
        </w:tc>
      </w:tr>
      <w:tr w:rsidR="00C37D18" w:rsidTr="00C37D18">
        <w:trPr>
          <w:trHeight w:val="2597"/>
        </w:trPr>
        <w:tc>
          <w:tcPr>
            <w:tcW w:w="9039" w:type="dxa"/>
            <w:tcBorders>
              <w:top w:val="single" w:sz="4" w:space="0" w:color="42D0B8"/>
              <w:left w:val="single" w:sz="4" w:space="0" w:color="42D0B8"/>
              <w:bottom w:val="single" w:sz="4" w:space="0" w:color="42D0B8"/>
              <w:right w:val="single" w:sz="4" w:space="0" w:color="42D0B8"/>
            </w:tcBorders>
            <w:hideMark/>
          </w:tcPr>
          <w:p w:rsidR="00C37D18" w:rsidRDefault="00C37D18" w:rsidP="00C37D18">
            <w:pPr>
              <w:spacing w:before="120" w:after="120"/>
              <w:jc w:val="both"/>
              <w:rPr>
                <w:rFonts w:eastAsia="Arial Unicode MS" w:cstheme="minorHAnsi"/>
                <w:b/>
              </w:rPr>
            </w:pPr>
            <w:r>
              <w:rPr>
                <w:rFonts w:eastAsia="Arial Unicode MS" w:cstheme="minorHAnsi"/>
                <w:b/>
              </w:rPr>
              <w:t>KNOWLEDGE</w:t>
            </w:r>
          </w:p>
          <w:p w:rsidR="00C37D18" w:rsidRDefault="00C37D18" w:rsidP="00C37D18">
            <w:pPr>
              <w:pStyle w:val="ListParagraph"/>
              <w:numPr>
                <w:ilvl w:val="0"/>
                <w:numId w:val="26"/>
              </w:numPr>
              <w:spacing w:before="60" w:after="0" w:line="240" w:lineRule="auto"/>
              <w:ind w:left="426" w:hanging="284"/>
              <w:jc w:val="both"/>
              <w:rPr>
                <w:rFonts w:asciiTheme="minorHAnsi" w:eastAsia="Arial Unicode MS" w:hAnsiTheme="minorHAnsi" w:cstheme="minorHAnsi"/>
              </w:rPr>
            </w:pPr>
            <w:r>
              <w:rPr>
                <w:rFonts w:asciiTheme="minorHAnsi" w:eastAsia="Arial Unicode MS" w:hAnsiTheme="minorHAnsi" w:cstheme="minorHAnsi"/>
              </w:rPr>
              <w:t xml:space="preserve">Patient information is available at every point of </w:t>
            </w:r>
            <w:r w:rsidR="00F8742A">
              <w:rPr>
                <w:rFonts w:asciiTheme="minorHAnsi" w:eastAsia="Arial Unicode MS" w:hAnsiTheme="minorHAnsi" w:cstheme="minorHAnsi"/>
              </w:rPr>
              <w:t>care to</w:t>
            </w:r>
            <w:r>
              <w:rPr>
                <w:rFonts w:asciiTheme="minorHAnsi" w:eastAsia="Arial Unicode MS" w:hAnsiTheme="minorHAnsi" w:cstheme="minorHAnsi"/>
              </w:rPr>
              <w:t xml:space="preserve"> ensure oral health and primary care practitioners, treating the </w:t>
            </w:r>
            <w:r w:rsidR="00F8742A">
              <w:rPr>
                <w:rFonts w:asciiTheme="minorHAnsi" w:eastAsia="Arial Unicode MS" w:hAnsiTheme="minorHAnsi" w:cstheme="minorHAnsi"/>
              </w:rPr>
              <w:t>same patient</w:t>
            </w:r>
            <w:r>
              <w:rPr>
                <w:rFonts w:asciiTheme="minorHAnsi" w:eastAsia="Arial Unicode MS" w:hAnsiTheme="minorHAnsi" w:cstheme="minorHAnsi"/>
              </w:rPr>
              <w:t>, have all the information they need, organised correctly at the point of care, to make the right clinical decisions (A) (B)</w:t>
            </w:r>
          </w:p>
          <w:p w:rsidR="00C37D18" w:rsidRPr="00F2677D" w:rsidRDefault="00C37D18" w:rsidP="00C37D18">
            <w:pPr>
              <w:pStyle w:val="ListParagraph"/>
              <w:numPr>
                <w:ilvl w:val="0"/>
                <w:numId w:val="26"/>
              </w:numPr>
              <w:spacing w:before="60" w:after="60" w:line="240" w:lineRule="auto"/>
              <w:ind w:left="426" w:hanging="284"/>
              <w:jc w:val="both"/>
              <w:rPr>
                <w:rFonts w:asciiTheme="minorHAnsi" w:eastAsia="Arial Unicode MS" w:hAnsiTheme="minorHAnsi" w:cstheme="minorHAnsi"/>
              </w:rPr>
            </w:pPr>
            <w:r>
              <w:rPr>
                <w:rFonts w:asciiTheme="minorHAnsi" w:eastAsia="Arial Unicode MS" w:hAnsiTheme="minorHAnsi" w:cstheme="minorHAnsi"/>
              </w:rPr>
              <w:t xml:space="preserve">Attend or instigate inter-service meetings (Primary health care, Diabetes Services, Diabetes practitioners), to ensure quality and continuity of care. These meetings may discuss how respective services can facilitate access to comprehensive diabetes care, as well as the development and implementation of formal (two-way) referral </w:t>
            </w:r>
            <w:r w:rsidRPr="00F2677D">
              <w:rPr>
                <w:rFonts w:asciiTheme="minorHAnsi" w:eastAsia="Arial Unicode MS" w:hAnsiTheme="minorHAnsi" w:cstheme="minorHAnsi"/>
              </w:rPr>
              <w:t>processes (B)</w:t>
            </w:r>
          </w:p>
        </w:tc>
      </w:tr>
      <w:tr w:rsidR="00C37D18" w:rsidTr="00C37D18">
        <w:trPr>
          <w:trHeight w:val="416"/>
        </w:trPr>
        <w:tc>
          <w:tcPr>
            <w:tcW w:w="9039" w:type="dxa"/>
            <w:tcBorders>
              <w:top w:val="single" w:sz="4" w:space="0" w:color="42D0B8"/>
              <w:left w:val="single" w:sz="4" w:space="0" w:color="42D0B8"/>
              <w:bottom w:val="single" w:sz="4" w:space="0" w:color="42D0B8"/>
              <w:right w:val="single" w:sz="4" w:space="0" w:color="42D0B8"/>
            </w:tcBorders>
            <w:hideMark/>
          </w:tcPr>
          <w:p w:rsidR="00C37D18" w:rsidRDefault="00C37D18" w:rsidP="00C37D18">
            <w:pPr>
              <w:spacing w:before="120" w:after="120"/>
              <w:jc w:val="both"/>
              <w:rPr>
                <w:rFonts w:eastAsia="Arial Unicode MS" w:cstheme="minorHAnsi"/>
                <w:b/>
              </w:rPr>
            </w:pPr>
            <w:r>
              <w:rPr>
                <w:rFonts w:eastAsia="Arial Unicode MS" w:cstheme="minorHAnsi"/>
                <w:b/>
              </w:rPr>
              <w:t>SYSTEMS</w:t>
            </w:r>
          </w:p>
          <w:p w:rsidR="00C37D18" w:rsidRPr="00EC69C9" w:rsidRDefault="00C37D18" w:rsidP="00C37D18">
            <w:pPr>
              <w:pStyle w:val="ListParagraph"/>
              <w:numPr>
                <w:ilvl w:val="0"/>
                <w:numId w:val="26"/>
              </w:numPr>
              <w:spacing w:before="60" w:after="0" w:line="240" w:lineRule="auto"/>
              <w:ind w:left="426" w:hanging="284"/>
              <w:jc w:val="both"/>
              <w:rPr>
                <w:rFonts w:asciiTheme="minorHAnsi" w:eastAsia="Arial Unicode MS" w:hAnsiTheme="minorHAnsi" w:cstheme="minorHAnsi"/>
              </w:rPr>
            </w:pPr>
            <w:r>
              <w:rPr>
                <w:rFonts w:asciiTheme="minorHAnsi" w:eastAsia="Arial Unicode MS" w:hAnsiTheme="minorHAnsi" w:cstheme="minorHAnsi"/>
              </w:rPr>
              <w:t>Māori oral health providers and primary care practices have information systems that enable the exchange of, and access to, patient information to inform patient care decisions and pathways (A) (B)</w:t>
            </w:r>
          </w:p>
          <w:p w:rsidR="00C37D18" w:rsidRPr="00EC69C9" w:rsidRDefault="00C37D18" w:rsidP="00C37D18">
            <w:pPr>
              <w:spacing w:before="240" w:after="120"/>
              <w:jc w:val="both"/>
              <w:rPr>
                <w:rFonts w:eastAsia="Arial Unicode MS" w:cstheme="minorHAnsi"/>
                <w:b/>
              </w:rPr>
            </w:pPr>
            <w:r>
              <w:rPr>
                <w:rFonts w:eastAsia="Arial Unicode MS" w:cstheme="minorHAnsi"/>
                <w:b/>
              </w:rPr>
              <w:t>Oral health practitioners must:</w:t>
            </w:r>
          </w:p>
          <w:p w:rsidR="00C37D18" w:rsidRDefault="00C37D18" w:rsidP="00C37D18">
            <w:pPr>
              <w:pStyle w:val="ListParagraph"/>
              <w:numPr>
                <w:ilvl w:val="0"/>
                <w:numId w:val="26"/>
              </w:numPr>
              <w:spacing w:before="60" w:after="0" w:line="240" w:lineRule="auto"/>
              <w:ind w:left="426" w:hanging="284"/>
              <w:jc w:val="both"/>
              <w:rPr>
                <w:rFonts w:asciiTheme="minorHAnsi" w:eastAsia="Arial Unicode MS" w:hAnsiTheme="minorHAnsi" w:cstheme="minorHAnsi"/>
              </w:rPr>
            </w:pPr>
            <w:r w:rsidRPr="00905268">
              <w:rPr>
                <w:rFonts w:asciiTheme="minorHAnsi" w:eastAsia="Arial Unicode MS" w:hAnsiTheme="minorHAnsi" w:cstheme="minorHAnsi"/>
              </w:rPr>
              <w:t xml:space="preserve">Ask patients if they are diabetic, with a focus on </w:t>
            </w:r>
            <w:r>
              <w:rPr>
                <w:rFonts w:asciiTheme="minorHAnsi" w:eastAsia="Arial Unicode MS" w:hAnsiTheme="minorHAnsi" w:cstheme="minorHAnsi"/>
              </w:rPr>
              <w:t xml:space="preserve">risk factors such as established </w:t>
            </w:r>
            <w:r w:rsidRPr="00905268">
              <w:rPr>
                <w:rFonts w:asciiTheme="minorHAnsi" w:eastAsia="Arial Unicode MS" w:hAnsiTheme="minorHAnsi" w:cstheme="minorHAnsi"/>
              </w:rPr>
              <w:t xml:space="preserve">cardiovascular disease, or </w:t>
            </w:r>
            <w:r>
              <w:rPr>
                <w:rFonts w:asciiTheme="minorHAnsi" w:eastAsia="Arial Unicode MS" w:hAnsiTheme="minorHAnsi" w:cstheme="minorHAnsi"/>
              </w:rPr>
              <w:t>those who are over-weight</w:t>
            </w:r>
          </w:p>
          <w:p w:rsidR="00C37D18" w:rsidRPr="00905268" w:rsidRDefault="00C37D18" w:rsidP="00C37D18">
            <w:pPr>
              <w:pStyle w:val="ListParagraph"/>
              <w:numPr>
                <w:ilvl w:val="0"/>
                <w:numId w:val="26"/>
              </w:numPr>
              <w:spacing w:before="60" w:after="0" w:line="240" w:lineRule="auto"/>
              <w:ind w:left="426" w:hanging="284"/>
              <w:jc w:val="both"/>
              <w:rPr>
                <w:rFonts w:asciiTheme="minorHAnsi" w:eastAsia="Arial Unicode MS" w:hAnsiTheme="minorHAnsi" w:cstheme="minorHAnsi"/>
              </w:rPr>
            </w:pPr>
            <w:r>
              <w:rPr>
                <w:rFonts w:asciiTheme="minorHAnsi" w:eastAsia="Arial Unicode MS" w:hAnsiTheme="minorHAnsi" w:cstheme="minorHAnsi"/>
              </w:rPr>
              <w:t>Ask patients about their family history of diabetes and determine if there are any classic signs and symptoms of diabetes mellitus in the patient such as: polyuria (excessive urination), polydipsia (excessive thirst), polyphagia (excessive sense of hunger), and recent onset of blurred visions or recent weight loss (A). If family history is positive for diabetes mellitus and such signs or symptoms are present, the oral health practitioner must inform the patient’s GP (A)</w:t>
            </w:r>
          </w:p>
          <w:p w:rsidR="00C37D18" w:rsidRDefault="00C37D18" w:rsidP="00C37D18">
            <w:pPr>
              <w:pStyle w:val="ListParagraph"/>
              <w:numPr>
                <w:ilvl w:val="0"/>
                <w:numId w:val="26"/>
              </w:numPr>
              <w:spacing w:before="60" w:after="0" w:line="240" w:lineRule="auto"/>
              <w:ind w:left="426" w:hanging="284"/>
              <w:jc w:val="both"/>
              <w:rPr>
                <w:rFonts w:asciiTheme="minorHAnsi" w:eastAsia="Arial Unicode MS" w:hAnsiTheme="minorHAnsi" w:cstheme="minorHAnsi"/>
              </w:rPr>
            </w:pPr>
            <w:r>
              <w:rPr>
                <w:rFonts w:asciiTheme="minorHAnsi" w:eastAsia="Arial Unicode MS" w:hAnsiTheme="minorHAnsi" w:cstheme="minorHAnsi"/>
              </w:rPr>
              <w:t>Refer the patient to their GP when the dentist suspects that patients may have undiagnosed diabetes mellitus, diabetes that is poorly controlled, or have an established CVD condition and have not had regular care (A)</w:t>
            </w:r>
          </w:p>
          <w:p w:rsidR="00C37D18" w:rsidRPr="00C96C94" w:rsidRDefault="00C37D18" w:rsidP="00C37D18">
            <w:pPr>
              <w:pStyle w:val="ListParagraph"/>
              <w:numPr>
                <w:ilvl w:val="0"/>
                <w:numId w:val="26"/>
              </w:numPr>
              <w:spacing w:before="60" w:after="0" w:line="240" w:lineRule="auto"/>
              <w:ind w:left="426" w:hanging="284"/>
              <w:jc w:val="both"/>
              <w:rPr>
                <w:rFonts w:asciiTheme="minorHAnsi" w:eastAsia="Arial Unicode MS" w:hAnsiTheme="minorHAnsi" w:cstheme="minorHAnsi"/>
              </w:rPr>
            </w:pPr>
            <w:r w:rsidRPr="00C96C94">
              <w:rPr>
                <w:rFonts w:asciiTheme="minorHAnsi" w:eastAsia="Arial Unicode MS" w:hAnsiTheme="minorHAnsi" w:cstheme="minorHAnsi"/>
              </w:rPr>
              <w:t>Practitioners should be mindful of other oral health conditions which can be diabetes related, whether diabetes has been diagnosed or not. These conditions include:</w:t>
            </w:r>
          </w:p>
          <w:p w:rsidR="00C37D18" w:rsidRPr="00C96C94" w:rsidRDefault="00C37D18" w:rsidP="00C37D18">
            <w:pPr>
              <w:pStyle w:val="ListParagraph"/>
              <w:numPr>
                <w:ilvl w:val="0"/>
                <w:numId w:val="33"/>
              </w:numPr>
              <w:spacing w:before="60" w:after="0" w:line="240" w:lineRule="auto"/>
              <w:jc w:val="both"/>
              <w:rPr>
                <w:rFonts w:asciiTheme="minorHAnsi" w:eastAsia="Arial Unicode MS" w:hAnsiTheme="minorHAnsi" w:cstheme="minorHAnsi"/>
              </w:rPr>
            </w:pPr>
            <w:r w:rsidRPr="00C96C94">
              <w:rPr>
                <w:rFonts w:asciiTheme="minorHAnsi" w:eastAsia="Arial Unicode MS" w:hAnsiTheme="minorHAnsi" w:cstheme="minorHAnsi"/>
              </w:rPr>
              <w:t>Salivary and taste abnormalities</w:t>
            </w:r>
          </w:p>
          <w:p w:rsidR="00C37D18" w:rsidRPr="00C96C94" w:rsidRDefault="00C37D18" w:rsidP="00C37D18">
            <w:pPr>
              <w:pStyle w:val="ListParagraph"/>
              <w:numPr>
                <w:ilvl w:val="0"/>
                <w:numId w:val="33"/>
              </w:numPr>
              <w:spacing w:before="60" w:after="0" w:line="240" w:lineRule="auto"/>
              <w:jc w:val="both"/>
              <w:rPr>
                <w:rFonts w:asciiTheme="minorHAnsi" w:eastAsia="Arial Unicode MS" w:hAnsiTheme="minorHAnsi" w:cstheme="minorHAnsi"/>
              </w:rPr>
            </w:pPr>
            <w:r w:rsidRPr="00C96C94">
              <w:rPr>
                <w:rFonts w:asciiTheme="minorHAnsi" w:eastAsia="Arial Unicode MS" w:hAnsiTheme="minorHAnsi" w:cstheme="minorHAnsi"/>
              </w:rPr>
              <w:t>Fungal infection e.g. candidiasis in various presentations</w:t>
            </w:r>
          </w:p>
          <w:p w:rsidR="00C37D18" w:rsidRPr="00C96C94" w:rsidRDefault="00C37D18" w:rsidP="00C37D18">
            <w:pPr>
              <w:pStyle w:val="ListParagraph"/>
              <w:numPr>
                <w:ilvl w:val="0"/>
                <w:numId w:val="33"/>
              </w:numPr>
              <w:spacing w:before="60" w:after="0" w:line="240" w:lineRule="auto"/>
              <w:jc w:val="both"/>
              <w:rPr>
                <w:rFonts w:asciiTheme="minorHAnsi" w:eastAsia="Arial Unicode MS" w:hAnsiTheme="minorHAnsi" w:cstheme="minorHAnsi"/>
              </w:rPr>
            </w:pPr>
            <w:r w:rsidRPr="00C96C94">
              <w:rPr>
                <w:rFonts w:asciiTheme="minorHAnsi" w:eastAsia="Arial Unicode MS" w:hAnsiTheme="minorHAnsi" w:cstheme="minorHAnsi"/>
              </w:rPr>
              <w:t>Bacterial infections e.g. space infection</w:t>
            </w:r>
          </w:p>
          <w:p w:rsidR="00C37D18" w:rsidRPr="00C96C94" w:rsidRDefault="00C37D18" w:rsidP="00C37D18">
            <w:pPr>
              <w:pStyle w:val="ListParagraph"/>
              <w:numPr>
                <w:ilvl w:val="0"/>
                <w:numId w:val="33"/>
              </w:numPr>
              <w:spacing w:before="60" w:after="0" w:line="240" w:lineRule="auto"/>
              <w:jc w:val="both"/>
              <w:rPr>
                <w:rFonts w:asciiTheme="minorHAnsi" w:eastAsia="Arial Unicode MS" w:hAnsiTheme="minorHAnsi" w:cstheme="minorHAnsi"/>
              </w:rPr>
            </w:pPr>
            <w:r w:rsidRPr="00C96C94">
              <w:rPr>
                <w:rFonts w:asciiTheme="minorHAnsi" w:eastAsia="Arial Unicode MS" w:hAnsiTheme="minorHAnsi" w:cstheme="minorHAnsi"/>
              </w:rPr>
              <w:t>Poor wound healing</w:t>
            </w:r>
          </w:p>
          <w:p w:rsidR="00C37D18" w:rsidRPr="00C96C94" w:rsidRDefault="00C37D18" w:rsidP="00C37D18">
            <w:pPr>
              <w:pStyle w:val="ListParagraph"/>
              <w:numPr>
                <w:ilvl w:val="0"/>
                <w:numId w:val="33"/>
              </w:numPr>
              <w:spacing w:before="60" w:after="0" w:line="240" w:lineRule="auto"/>
              <w:jc w:val="both"/>
              <w:rPr>
                <w:rFonts w:asciiTheme="minorHAnsi" w:eastAsia="Arial Unicode MS" w:hAnsiTheme="minorHAnsi" w:cstheme="minorHAnsi"/>
              </w:rPr>
            </w:pPr>
            <w:r w:rsidRPr="00C96C94">
              <w:rPr>
                <w:rFonts w:asciiTheme="minorHAnsi" w:eastAsia="Arial Unicode MS" w:hAnsiTheme="minorHAnsi" w:cstheme="minorHAnsi"/>
              </w:rPr>
              <w:t>Neurosensory changes i.e. burning mouth syndrome</w:t>
            </w:r>
          </w:p>
          <w:p w:rsidR="00C37D18" w:rsidRDefault="00C37D18" w:rsidP="00C37D18">
            <w:pPr>
              <w:pStyle w:val="ListParagraph"/>
              <w:spacing w:before="60" w:after="0" w:line="240" w:lineRule="auto"/>
              <w:jc w:val="both"/>
              <w:rPr>
                <w:rFonts w:asciiTheme="minorHAnsi" w:eastAsia="Arial Unicode MS" w:hAnsiTheme="minorHAnsi" w:cstheme="minorHAnsi"/>
              </w:rPr>
            </w:pPr>
          </w:p>
          <w:p w:rsidR="00C37D18" w:rsidRDefault="00C37D18" w:rsidP="00C37D18">
            <w:pPr>
              <w:pStyle w:val="ListParagraph"/>
              <w:numPr>
                <w:ilvl w:val="0"/>
                <w:numId w:val="26"/>
              </w:numPr>
              <w:spacing w:before="60" w:after="0" w:line="240" w:lineRule="auto"/>
              <w:ind w:left="426" w:hanging="284"/>
              <w:jc w:val="both"/>
              <w:rPr>
                <w:rFonts w:asciiTheme="minorHAnsi" w:eastAsia="Arial Unicode MS" w:hAnsiTheme="minorHAnsi" w:cstheme="minorHAnsi"/>
              </w:rPr>
            </w:pPr>
            <w:r>
              <w:rPr>
                <w:rFonts w:asciiTheme="minorHAnsi" w:eastAsia="Arial Unicode MS" w:hAnsiTheme="minorHAnsi" w:cstheme="minorHAnsi"/>
              </w:rPr>
              <w:t>Evaluate and treat</w:t>
            </w:r>
            <w:r w:rsidRPr="007A7819">
              <w:rPr>
                <w:rFonts w:asciiTheme="minorHAnsi" w:eastAsia="Arial Unicode MS" w:hAnsiTheme="minorHAnsi" w:cstheme="minorHAnsi"/>
              </w:rPr>
              <w:t xml:space="preserve"> a diabetic patient with acute periodontal disease</w:t>
            </w:r>
            <w:r>
              <w:rPr>
                <w:rFonts w:asciiTheme="minorHAnsi" w:eastAsia="Arial Unicode MS" w:hAnsiTheme="minorHAnsi" w:cstheme="minorHAnsi"/>
              </w:rPr>
              <w:t>. If there are concerns that poor glycaemic control may contribute to the severity of the patient</w:t>
            </w:r>
            <w:r w:rsidR="005C7E60">
              <w:rPr>
                <w:rFonts w:asciiTheme="minorHAnsi" w:eastAsia="Arial Unicode MS" w:hAnsiTheme="minorHAnsi" w:cstheme="minorHAnsi"/>
              </w:rPr>
              <w:t>’</w:t>
            </w:r>
            <w:r>
              <w:rPr>
                <w:rFonts w:asciiTheme="minorHAnsi" w:eastAsia="Arial Unicode MS" w:hAnsiTheme="minorHAnsi" w:cstheme="minorHAnsi"/>
              </w:rPr>
              <w:t>s periodontal disease</w:t>
            </w:r>
            <w:r w:rsidR="005C7E60">
              <w:rPr>
                <w:rFonts w:asciiTheme="minorHAnsi" w:eastAsia="Arial Unicode MS" w:hAnsiTheme="minorHAnsi" w:cstheme="minorHAnsi"/>
              </w:rPr>
              <w:t>,</w:t>
            </w:r>
            <w:r>
              <w:rPr>
                <w:rFonts w:asciiTheme="minorHAnsi" w:eastAsia="Arial Unicode MS" w:hAnsiTheme="minorHAnsi" w:cstheme="minorHAnsi"/>
              </w:rPr>
              <w:t xml:space="preserve"> refer the patient to their GP outlining concerns and request that the GP review the patients glycaemic control to determine whether the treatment for diabetes should be adjusted (A) </w:t>
            </w:r>
          </w:p>
          <w:p w:rsidR="00C37D18" w:rsidRPr="003E6A23" w:rsidRDefault="00C37D18" w:rsidP="00C37D18">
            <w:pPr>
              <w:pStyle w:val="ListParagraph"/>
              <w:numPr>
                <w:ilvl w:val="0"/>
                <w:numId w:val="26"/>
              </w:numPr>
              <w:spacing w:before="60" w:after="0" w:line="240" w:lineRule="auto"/>
              <w:ind w:left="426" w:hanging="284"/>
              <w:jc w:val="both"/>
              <w:rPr>
                <w:rFonts w:ascii="Times New Roman" w:hAnsi="Times New Roman" w:cs="Times New Roman"/>
                <w:sz w:val="24"/>
                <w:szCs w:val="24"/>
                <w:lang w:eastAsia="en-NZ"/>
              </w:rPr>
            </w:pPr>
            <w:r w:rsidRPr="003E6A23">
              <w:t xml:space="preserve">Vice versa, acute and chronic infection is a factor in poor glycaemic control. Untreated dental and periodontal infection can be a cause of brittle, or poorly controlled diabetes. If there are concerns that the patients dental and/or periodontal disease may contribute to poor glycaemic control refer the patient to their GP outlining concerns and request that the GP review the patients glycaemic control to determine whether the treatment for diabetes should be adjusted </w:t>
            </w:r>
            <w:r>
              <w:t>(B)</w:t>
            </w:r>
          </w:p>
          <w:p w:rsidR="00C37D18" w:rsidRDefault="00C37D18" w:rsidP="00C37D18">
            <w:pPr>
              <w:pStyle w:val="ListParagraph"/>
              <w:numPr>
                <w:ilvl w:val="0"/>
                <w:numId w:val="26"/>
              </w:numPr>
              <w:spacing w:before="60" w:after="0" w:line="240" w:lineRule="auto"/>
              <w:ind w:left="426" w:hanging="284"/>
              <w:jc w:val="both"/>
              <w:rPr>
                <w:rFonts w:asciiTheme="minorHAnsi" w:eastAsia="Arial Unicode MS" w:hAnsiTheme="minorHAnsi" w:cstheme="minorHAnsi"/>
              </w:rPr>
            </w:pPr>
            <w:r>
              <w:rPr>
                <w:rFonts w:asciiTheme="minorHAnsi" w:eastAsia="Arial Unicode MS" w:hAnsiTheme="minorHAnsi" w:cstheme="minorHAnsi"/>
              </w:rPr>
              <w:t>Evaluate referred diabetic patients for periodontal disease and treat as necessary (A). Ensure the patient is scheduled for follow up with the referring primary care practitioner after being seen by the dentist (A)</w:t>
            </w:r>
            <w:r w:rsidR="005C7E60">
              <w:rPr>
                <w:rFonts w:asciiTheme="minorHAnsi" w:eastAsia="Arial Unicode MS" w:hAnsiTheme="minorHAnsi" w:cstheme="minorHAnsi"/>
              </w:rPr>
              <w:t>.</w:t>
            </w:r>
            <w:r>
              <w:rPr>
                <w:rFonts w:asciiTheme="minorHAnsi" w:eastAsia="Arial Unicode MS" w:hAnsiTheme="minorHAnsi" w:cstheme="minorHAnsi"/>
              </w:rPr>
              <w:t xml:space="preserve"> Send dental findings and treatment to the referring primary GP</w:t>
            </w:r>
            <w:r w:rsidRPr="007A7819">
              <w:rPr>
                <w:rFonts w:asciiTheme="minorHAnsi" w:eastAsia="Arial Unicode MS" w:hAnsiTheme="minorHAnsi" w:cstheme="minorHAnsi"/>
              </w:rPr>
              <w:t xml:space="preserve">. </w:t>
            </w:r>
            <w:r>
              <w:rPr>
                <w:rFonts w:asciiTheme="minorHAnsi" w:eastAsia="Arial Unicode MS" w:hAnsiTheme="minorHAnsi" w:cstheme="minorHAnsi"/>
              </w:rPr>
              <w:t>Schedule t</w:t>
            </w:r>
            <w:r w:rsidRPr="007A7819">
              <w:rPr>
                <w:rFonts w:asciiTheme="minorHAnsi" w:eastAsia="Arial Unicode MS" w:hAnsiTheme="minorHAnsi" w:cstheme="minorHAnsi"/>
              </w:rPr>
              <w:t xml:space="preserve">he patient </w:t>
            </w:r>
            <w:r>
              <w:rPr>
                <w:rFonts w:asciiTheme="minorHAnsi" w:eastAsia="Arial Unicode MS" w:hAnsiTheme="minorHAnsi" w:cstheme="minorHAnsi"/>
              </w:rPr>
              <w:t>for a dental</w:t>
            </w:r>
            <w:r w:rsidRPr="007A7819">
              <w:rPr>
                <w:rFonts w:asciiTheme="minorHAnsi" w:eastAsia="Arial Unicode MS" w:hAnsiTheme="minorHAnsi" w:cstheme="minorHAnsi"/>
              </w:rPr>
              <w:t xml:space="preserve"> follow up ap</w:t>
            </w:r>
            <w:r>
              <w:rPr>
                <w:rFonts w:asciiTheme="minorHAnsi" w:eastAsia="Arial Unicode MS" w:hAnsiTheme="minorHAnsi" w:cstheme="minorHAnsi"/>
              </w:rPr>
              <w:t>pointment for on-going care (A)</w:t>
            </w:r>
          </w:p>
          <w:p w:rsidR="00C37D18" w:rsidRPr="00EC69C9" w:rsidRDefault="00C37D18" w:rsidP="00C37D18">
            <w:pPr>
              <w:pStyle w:val="ListParagraph"/>
              <w:numPr>
                <w:ilvl w:val="0"/>
                <w:numId w:val="26"/>
              </w:numPr>
              <w:spacing w:before="60" w:after="0" w:line="240" w:lineRule="auto"/>
              <w:ind w:left="426" w:hanging="284"/>
              <w:jc w:val="both"/>
              <w:rPr>
                <w:rFonts w:asciiTheme="minorHAnsi" w:eastAsia="Arial Unicode MS" w:hAnsiTheme="minorHAnsi" w:cstheme="minorHAnsi"/>
              </w:rPr>
            </w:pPr>
            <w:r w:rsidRPr="00C96C94">
              <w:rPr>
                <w:rFonts w:eastAsia="Arial Unicode MS" w:cstheme="minorHAnsi"/>
              </w:rPr>
              <w:t>Provide patients with information about the relationship between diabetes and oral health, advise and reinforce to patients that adequate day-to-day oral care is a normal patient responsibility in diabetes self-management for maintaining good oral health, and the need for regular check-ups</w:t>
            </w:r>
            <w:r w:rsidR="00CF34DB">
              <w:rPr>
                <w:rFonts w:eastAsia="Arial Unicode MS" w:cstheme="minorHAnsi"/>
              </w:rPr>
              <w:t xml:space="preserve"> </w:t>
            </w:r>
            <w:r w:rsidRPr="00EC69C9">
              <w:rPr>
                <w:rFonts w:eastAsia="Arial Unicode MS" w:cstheme="minorHAnsi"/>
              </w:rPr>
              <w:t>(A) (B)</w:t>
            </w:r>
          </w:p>
          <w:p w:rsidR="00C37D18" w:rsidRDefault="00C37D18" w:rsidP="00C37D18">
            <w:pPr>
              <w:pStyle w:val="ListParagraph"/>
              <w:numPr>
                <w:ilvl w:val="0"/>
                <w:numId w:val="26"/>
              </w:numPr>
              <w:spacing w:before="60" w:after="0" w:line="240" w:lineRule="auto"/>
              <w:ind w:left="426" w:hanging="284"/>
              <w:jc w:val="both"/>
              <w:rPr>
                <w:rFonts w:asciiTheme="minorHAnsi" w:eastAsia="Arial Unicode MS" w:hAnsiTheme="minorHAnsi" w:cstheme="minorHAnsi"/>
              </w:rPr>
            </w:pPr>
            <w:r w:rsidRPr="00EC69C9">
              <w:rPr>
                <w:rFonts w:asciiTheme="minorHAnsi" w:eastAsia="Arial Unicode MS" w:hAnsiTheme="minorHAnsi" w:cstheme="minorHAnsi"/>
              </w:rPr>
              <w:t>Establish referral pathways that enable the exchange of information between MOHP and primary care practices to manage care for patients with diabetes (B)</w:t>
            </w:r>
          </w:p>
          <w:p w:rsidR="00C37D18" w:rsidRPr="00EC69C9" w:rsidRDefault="00C37D18" w:rsidP="00C37D18">
            <w:pPr>
              <w:pStyle w:val="ListParagraph"/>
              <w:numPr>
                <w:ilvl w:val="0"/>
                <w:numId w:val="26"/>
              </w:numPr>
              <w:spacing w:before="60" w:after="0" w:line="240" w:lineRule="auto"/>
              <w:ind w:left="426" w:hanging="284"/>
              <w:jc w:val="both"/>
              <w:rPr>
                <w:rFonts w:asciiTheme="minorHAnsi" w:eastAsia="Arial Unicode MS" w:hAnsiTheme="minorHAnsi" w:cstheme="minorHAnsi"/>
              </w:rPr>
            </w:pPr>
            <w:r>
              <w:rPr>
                <w:rFonts w:asciiTheme="minorHAnsi" w:eastAsia="Arial Unicode MS" w:hAnsiTheme="minorHAnsi" w:cstheme="minorHAnsi"/>
              </w:rPr>
              <w:t>Record patient status and document all actions in the patient information system (A) (B)</w:t>
            </w:r>
          </w:p>
          <w:p w:rsidR="00C37D18" w:rsidRDefault="00C37D18" w:rsidP="00C37D18">
            <w:pPr>
              <w:spacing w:before="240" w:after="120"/>
              <w:jc w:val="both"/>
              <w:rPr>
                <w:rFonts w:eastAsia="Arial Unicode MS" w:cstheme="minorHAnsi"/>
                <w:b/>
              </w:rPr>
            </w:pPr>
            <w:r>
              <w:rPr>
                <w:rFonts w:eastAsia="Arial Unicode MS" w:cstheme="minorHAnsi"/>
              </w:rPr>
              <w:t>P</w:t>
            </w:r>
            <w:r>
              <w:rPr>
                <w:rFonts w:eastAsia="Arial Unicode MS" w:cstheme="minorHAnsi"/>
                <w:b/>
              </w:rPr>
              <w:t xml:space="preserve">rimary care practitioners must: </w:t>
            </w:r>
          </w:p>
          <w:p w:rsidR="00C37D18" w:rsidRPr="009D494A" w:rsidRDefault="00C37D18" w:rsidP="00C37D18">
            <w:pPr>
              <w:pStyle w:val="ListParagraph"/>
              <w:numPr>
                <w:ilvl w:val="0"/>
                <w:numId w:val="26"/>
              </w:numPr>
              <w:spacing w:before="60" w:after="0" w:line="240" w:lineRule="auto"/>
              <w:ind w:left="426" w:hanging="284"/>
              <w:jc w:val="both"/>
              <w:rPr>
                <w:rFonts w:asciiTheme="minorHAnsi" w:eastAsia="Arial Unicode MS" w:hAnsiTheme="minorHAnsi" w:cstheme="minorHAnsi"/>
                <w:b/>
              </w:rPr>
            </w:pPr>
            <w:r w:rsidRPr="00B056A9">
              <w:rPr>
                <w:rFonts w:asciiTheme="minorHAnsi" w:eastAsia="Arial Unicode MS" w:hAnsiTheme="minorHAnsi" w:cstheme="minorHAnsi"/>
              </w:rPr>
              <w:t>Identify people at risk of diabetes, who would benefit from oral health care (A) (B)</w:t>
            </w:r>
            <w:r>
              <w:rPr>
                <w:rFonts w:asciiTheme="minorHAnsi" w:eastAsia="Arial Unicode MS" w:hAnsiTheme="minorHAnsi" w:cstheme="minorHAnsi"/>
              </w:rPr>
              <w:t xml:space="preserve"> and r</w:t>
            </w:r>
            <w:r w:rsidRPr="00B056A9">
              <w:rPr>
                <w:rFonts w:asciiTheme="minorHAnsi" w:eastAsia="Arial Unicode MS" w:hAnsiTheme="minorHAnsi" w:cstheme="minorHAnsi"/>
              </w:rPr>
              <w:t>efer them to the MOHP or their preferred dental provider</w:t>
            </w:r>
            <w:r>
              <w:rPr>
                <w:rFonts w:asciiTheme="minorHAnsi" w:eastAsia="Arial Unicode MS" w:hAnsiTheme="minorHAnsi" w:cstheme="minorHAnsi"/>
              </w:rPr>
              <w:t xml:space="preserve"> to evaluate the patient for periodontal disease and other oral health conditions associated with diabetes,</w:t>
            </w:r>
            <w:r w:rsidRPr="00B056A9">
              <w:rPr>
                <w:rFonts w:asciiTheme="minorHAnsi" w:eastAsia="Arial Unicode MS" w:hAnsiTheme="minorHAnsi" w:cstheme="minorHAnsi"/>
              </w:rPr>
              <w:t xml:space="preserve"> and document that you have done so </w:t>
            </w:r>
            <w:r>
              <w:rPr>
                <w:rFonts w:asciiTheme="minorHAnsi" w:eastAsia="Arial Unicode MS" w:hAnsiTheme="minorHAnsi" w:cstheme="minorHAnsi"/>
              </w:rPr>
              <w:t xml:space="preserve">(A) </w:t>
            </w:r>
            <w:r w:rsidRPr="00B056A9">
              <w:rPr>
                <w:rFonts w:asciiTheme="minorHAnsi" w:eastAsia="Arial Unicode MS" w:hAnsiTheme="minorHAnsi" w:cstheme="minorHAnsi"/>
              </w:rPr>
              <w:t>(B)</w:t>
            </w:r>
          </w:p>
          <w:p w:rsidR="00C37D18" w:rsidRPr="009D494A" w:rsidRDefault="00C37D18" w:rsidP="00C37D18">
            <w:pPr>
              <w:pStyle w:val="ListParagraph"/>
              <w:numPr>
                <w:ilvl w:val="0"/>
                <w:numId w:val="26"/>
              </w:numPr>
              <w:spacing w:before="60" w:after="0" w:line="240" w:lineRule="auto"/>
              <w:ind w:left="426" w:hanging="284"/>
              <w:jc w:val="both"/>
              <w:rPr>
                <w:rFonts w:asciiTheme="minorHAnsi" w:eastAsia="Arial Unicode MS" w:hAnsiTheme="minorHAnsi" w:cstheme="minorHAnsi"/>
                <w:b/>
              </w:rPr>
            </w:pPr>
            <w:r w:rsidRPr="009D494A">
              <w:rPr>
                <w:rFonts w:asciiTheme="minorHAnsi" w:eastAsia="Arial Unicode MS" w:hAnsiTheme="minorHAnsi" w:cstheme="minorHAnsi"/>
              </w:rPr>
              <w:t xml:space="preserve">Refer patients with diabetes to the MOHP or their preferred dental provider for a complete evaluation of their oral health (A) if they answer ‘no’ or ‘unsure’ to the following questions about oral health: </w:t>
            </w:r>
          </w:p>
          <w:p w:rsidR="00C37D18" w:rsidRPr="00942314" w:rsidRDefault="00C37D18" w:rsidP="00C37D18">
            <w:pPr>
              <w:pStyle w:val="ListParagraph"/>
              <w:numPr>
                <w:ilvl w:val="0"/>
                <w:numId w:val="32"/>
              </w:numPr>
              <w:spacing w:before="60" w:after="0" w:line="240" w:lineRule="auto"/>
              <w:jc w:val="both"/>
              <w:rPr>
                <w:rFonts w:asciiTheme="minorHAnsi" w:eastAsia="Arial Unicode MS" w:hAnsiTheme="minorHAnsi" w:cstheme="minorHAnsi"/>
                <w:b/>
              </w:rPr>
            </w:pPr>
            <w:r>
              <w:rPr>
                <w:rFonts w:asciiTheme="minorHAnsi" w:eastAsia="Arial Unicode MS" w:hAnsiTheme="minorHAnsi" w:cstheme="minorHAnsi"/>
              </w:rPr>
              <w:t>Do you visit your dental provider at least once a year for a full-mouth exam?</w:t>
            </w:r>
          </w:p>
          <w:p w:rsidR="00C37D18" w:rsidRPr="00942314" w:rsidRDefault="00C37D18" w:rsidP="00C37D18">
            <w:pPr>
              <w:pStyle w:val="ListParagraph"/>
              <w:numPr>
                <w:ilvl w:val="0"/>
                <w:numId w:val="32"/>
              </w:numPr>
              <w:spacing w:before="60" w:after="0" w:line="240" w:lineRule="auto"/>
              <w:jc w:val="both"/>
              <w:rPr>
                <w:rFonts w:asciiTheme="minorHAnsi" w:eastAsia="Arial Unicode MS" w:hAnsiTheme="minorHAnsi" w:cstheme="minorHAnsi"/>
                <w:b/>
              </w:rPr>
            </w:pPr>
            <w:r>
              <w:rPr>
                <w:rFonts w:asciiTheme="minorHAnsi" w:eastAsia="Arial Unicode MS" w:hAnsiTheme="minorHAnsi" w:cstheme="minorHAnsi"/>
              </w:rPr>
              <w:t>Do you know how diabetes can affect your teeth and gums?</w:t>
            </w:r>
          </w:p>
          <w:p w:rsidR="00C37D18" w:rsidRPr="00942314" w:rsidRDefault="00C37D18" w:rsidP="00C37D18">
            <w:pPr>
              <w:pStyle w:val="ListParagraph"/>
              <w:numPr>
                <w:ilvl w:val="0"/>
                <w:numId w:val="32"/>
              </w:numPr>
              <w:spacing w:before="60" w:after="0" w:line="240" w:lineRule="auto"/>
              <w:jc w:val="both"/>
              <w:rPr>
                <w:rFonts w:asciiTheme="minorHAnsi" w:eastAsia="Arial Unicode MS" w:hAnsiTheme="minorHAnsi" w:cstheme="minorHAnsi"/>
                <w:b/>
              </w:rPr>
            </w:pPr>
            <w:r>
              <w:rPr>
                <w:rFonts w:asciiTheme="minorHAnsi" w:eastAsia="Arial Unicode MS" w:hAnsiTheme="minorHAnsi" w:cstheme="minorHAnsi"/>
              </w:rPr>
              <w:t>Do you know the best way to brush your teeth and use dental floss?</w:t>
            </w:r>
          </w:p>
          <w:p w:rsidR="00C37D18" w:rsidRPr="00942314" w:rsidRDefault="00C37D18" w:rsidP="00C37D18">
            <w:pPr>
              <w:pStyle w:val="ListParagraph"/>
              <w:numPr>
                <w:ilvl w:val="0"/>
                <w:numId w:val="32"/>
              </w:numPr>
              <w:spacing w:before="60" w:after="0" w:line="240" w:lineRule="auto"/>
              <w:jc w:val="both"/>
              <w:rPr>
                <w:rFonts w:asciiTheme="minorHAnsi" w:eastAsia="Arial Unicode MS" w:hAnsiTheme="minorHAnsi" w:cstheme="minorHAnsi"/>
                <w:b/>
              </w:rPr>
            </w:pPr>
            <w:r>
              <w:rPr>
                <w:rFonts w:asciiTheme="minorHAnsi" w:eastAsia="Arial Unicode MS" w:hAnsiTheme="minorHAnsi" w:cstheme="minorHAnsi"/>
              </w:rPr>
              <w:t>Do you know the early signs of tooth, mouth, and gum problems?</w:t>
            </w:r>
          </w:p>
          <w:p w:rsidR="00C37D18" w:rsidRPr="009D494A" w:rsidRDefault="00C37D18" w:rsidP="00C37D18">
            <w:pPr>
              <w:pStyle w:val="ListParagraph"/>
              <w:numPr>
                <w:ilvl w:val="0"/>
                <w:numId w:val="32"/>
              </w:numPr>
              <w:spacing w:before="60" w:after="0" w:line="240" w:lineRule="auto"/>
              <w:jc w:val="both"/>
              <w:rPr>
                <w:rFonts w:asciiTheme="minorHAnsi" w:eastAsia="Arial Unicode MS" w:hAnsiTheme="minorHAnsi" w:cstheme="minorHAnsi"/>
                <w:b/>
              </w:rPr>
            </w:pPr>
            <w:r>
              <w:rPr>
                <w:rFonts w:asciiTheme="minorHAnsi" w:eastAsia="Arial Unicode MS" w:hAnsiTheme="minorHAnsi" w:cstheme="minorHAnsi"/>
              </w:rPr>
              <w:t>Do you have any problems in your mouth, such as loose teeth, red or swollen gums, burning, difficulty chewing, or poorly fitting dentures (A)</w:t>
            </w:r>
          </w:p>
          <w:p w:rsidR="00C37D18" w:rsidRDefault="00C37D18" w:rsidP="00C37D18">
            <w:pPr>
              <w:pStyle w:val="ListParagraph"/>
              <w:numPr>
                <w:ilvl w:val="0"/>
                <w:numId w:val="26"/>
              </w:numPr>
              <w:spacing w:before="60" w:after="0" w:line="240" w:lineRule="auto"/>
              <w:ind w:left="426" w:hanging="284"/>
              <w:jc w:val="both"/>
              <w:rPr>
                <w:rFonts w:asciiTheme="minorHAnsi" w:eastAsia="Arial Unicode MS" w:hAnsiTheme="minorHAnsi" w:cstheme="minorHAnsi"/>
              </w:rPr>
            </w:pPr>
            <w:r>
              <w:rPr>
                <w:rFonts w:asciiTheme="minorHAnsi" w:eastAsia="Arial Unicode MS" w:hAnsiTheme="minorHAnsi" w:cstheme="minorHAnsi"/>
              </w:rPr>
              <w:t>When receiving a referral from the dentist gather additional information from the patient and from laboratory tests, and with the patient develop a treatment plan to improve the patient’s glycaemic control. Recommend regular oral health checks as part of the patient’s treatment plan. Send relevant patient information to the referring dentist advising that the patient has been seen, addressing any specific issues raised by the dentist in the consultation, and that a follow up appointment with the dentist has been recommended (A)</w:t>
            </w:r>
          </w:p>
          <w:p w:rsidR="00C37D18" w:rsidRDefault="00C37D18" w:rsidP="00C37D18">
            <w:pPr>
              <w:pStyle w:val="ListParagraph"/>
              <w:numPr>
                <w:ilvl w:val="0"/>
                <w:numId w:val="26"/>
              </w:numPr>
              <w:spacing w:before="60" w:after="0" w:line="240" w:lineRule="auto"/>
              <w:ind w:left="426" w:hanging="284"/>
              <w:jc w:val="both"/>
              <w:rPr>
                <w:rFonts w:asciiTheme="minorHAnsi" w:eastAsia="Arial Unicode MS" w:hAnsiTheme="minorHAnsi" w:cstheme="minorHAnsi"/>
              </w:rPr>
            </w:pPr>
            <w:r>
              <w:rPr>
                <w:rFonts w:asciiTheme="minorHAnsi" w:eastAsia="Arial Unicode MS" w:hAnsiTheme="minorHAnsi" w:cstheme="minorHAnsi"/>
              </w:rPr>
              <w:t>Provide the results of laboratory tests such as HbA1c to dentists on request (A)</w:t>
            </w:r>
          </w:p>
          <w:p w:rsidR="00C37D18" w:rsidRPr="001816B0" w:rsidRDefault="00C37D18" w:rsidP="00C37D18">
            <w:pPr>
              <w:pStyle w:val="ListParagraph"/>
              <w:numPr>
                <w:ilvl w:val="0"/>
                <w:numId w:val="26"/>
              </w:numPr>
              <w:spacing w:before="60" w:after="0" w:line="240" w:lineRule="auto"/>
              <w:ind w:left="426" w:hanging="284"/>
              <w:jc w:val="both"/>
              <w:rPr>
                <w:rFonts w:asciiTheme="minorHAnsi" w:eastAsia="Arial Unicode MS" w:hAnsiTheme="minorHAnsi" w:cstheme="minorHAnsi"/>
                <w:b/>
              </w:rPr>
            </w:pPr>
            <w:r>
              <w:rPr>
                <w:rFonts w:asciiTheme="minorHAnsi" w:eastAsia="Arial Unicode MS" w:hAnsiTheme="minorHAnsi" w:cstheme="minorHAnsi"/>
              </w:rPr>
              <w:t xml:space="preserve">Be aware of the effects of oral infection and periodontal inflammation have on achieving ideal glycaemic control (A) </w:t>
            </w:r>
          </w:p>
          <w:p w:rsidR="00C37D18" w:rsidRPr="001816B0" w:rsidRDefault="00C37D18" w:rsidP="00C37D18">
            <w:pPr>
              <w:pStyle w:val="ListParagraph"/>
              <w:numPr>
                <w:ilvl w:val="0"/>
                <w:numId w:val="26"/>
              </w:numPr>
              <w:spacing w:before="60" w:after="0" w:line="240" w:lineRule="auto"/>
              <w:ind w:left="426" w:hanging="284"/>
              <w:jc w:val="both"/>
              <w:rPr>
                <w:rFonts w:asciiTheme="minorHAnsi" w:eastAsia="Arial Unicode MS" w:hAnsiTheme="minorHAnsi" w:cstheme="minorHAnsi"/>
              </w:rPr>
            </w:pPr>
            <w:r w:rsidRPr="001816B0">
              <w:rPr>
                <w:rFonts w:asciiTheme="minorHAnsi" w:eastAsia="Arial Unicode MS" w:hAnsiTheme="minorHAnsi" w:cstheme="minorHAnsi"/>
              </w:rPr>
              <w:t>Practitioners should be mindful of other oral health conditions which can be diabetes related,</w:t>
            </w:r>
            <w:r>
              <w:rPr>
                <w:rFonts w:asciiTheme="minorHAnsi" w:eastAsia="Arial Unicode MS" w:hAnsiTheme="minorHAnsi" w:cstheme="minorHAnsi"/>
              </w:rPr>
              <w:t xml:space="preserve"> </w:t>
            </w:r>
            <w:r w:rsidRPr="001816B0">
              <w:rPr>
                <w:rFonts w:asciiTheme="minorHAnsi" w:eastAsia="Arial Unicode MS" w:hAnsiTheme="minorHAnsi" w:cstheme="minorHAnsi"/>
              </w:rPr>
              <w:t>whether diabetes has been diagnosed or not. These conditions include:</w:t>
            </w:r>
          </w:p>
          <w:p w:rsidR="00C37D18" w:rsidRPr="001816B0" w:rsidRDefault="00C37D18" w:rsidP="00C37D18">
            <w:pPr>
              <w:pStyle w:val="ListParagraph"/>
              <w:numPr>
                <w:ilvl w:val="0"/>
                <w:numId w:val="33"/>
              </w:numPr>
              <w:spacing w:before="60" w:after="0" w:line="240" w:lineRule="auto"/>
              <w:jc w:val="both"/>
              <w:rPr>
                <w:rFonts w:asciiTheme="minorHAnsi" w:eastAsia="Arial Unicode MS" w:hAnsiTheme="minorHAnsi" w:cstheme="minorHAnsi"/>
              </w:rPr>
            </w:pPr>
            <w:r w:rsidRPr="001816B0">
              <w:rPr>
                <w:rFonts w:asciiTheme="minorHAnsi" w:eastAsia="Arial Unicode MS" w:hAnsiTheme="minorHAnsi" w:cstheme="minorHAnsi"/>
              </w:rPr>
              <w:t>Salivary and taste abnormalities</w:t>
            </w:r>
          </w:p>
          <w:p w:rsidR="00C37D18" w:rsidRPr="001816B0" w:rsidRDefault="00C37D18" w:rsidP="00C37D18">
            <w:pPr>
              <w:pStyle w:val="ListParagraph"/>
              <w:numPr>
                <w:ilvl w:val="0"/>
                <w:numId w:val="33"/>
              </w:numPr>
              <w:spacing w:before="60" w:after="0" w:line="240" w:lineRule="auto"/>
              <w:jc w:val="both"/>
              <w:rPr>
                <w:rFonts w:asciiTheme="minorHAnsi" w:eastAsia="Arial Unicode MS" w:hAnsiTheme="minorHAnsi" w:cstheme="minorHAnsi"/>
              </w:rPr>
            </w:pPr>
            <w:r w:rsidRPr="001816B0">
              <w:rPr>
                <w:rFonts w:asciiTheme="minorHAnsi" w:eastAsia="Arial Unicode MS" w:hAnsiTheme="minorHAnsi" w:cstheme="minorHAnsi"/>
              </w:rPr>
              <w:t>Fungal infection e.g. candidiasis in various presentations</w:t>
            </w:r>
          </w:p>
          <w:p w:rsidR="00C37D18" w:rsidRPr="001816B0" w:rsidRDefault="00C37D18" w:rsidP="00C37D18">
            <w:pPr>
              <w:pStyle w:val="ListParagraph"/>
              <w:numPr>
                <w:ilvl w:val="0"/>
                <w:numId w:val="33"/>
              </w:numPr>
              <w:spacing w:before="60" w:after="0" w:line="240" w:lineRule="auto"/>
              <w:jc w:val="both"/>
              <w:rPr>
                <w:rFonts w:asciiTheme="minorHAnsi" w:eastAsia="Arial Unicode MS" w:hAnsiTheme="minorHAnsi" w:cstheme="minorHAnsi"/>
              </w:rPr>
            </w:pPr>
            <w:r w:rsidRPr="001816B0">
              <w:rPr>
                <w:rFonts w:asciiTheme="minorHAnsi" w:eastAsia="Arial Unicode MS" w:hAnsiTheme="minorHAnsi" w:cstheme="minorHAnsi"/>
              </w:rPr>
              <w:lastRenderedPageBreak/>
              <w:t>Bacterial infections e.g. space infection</w:t>
            </w:r>
          </w:p>
          <w:p w:rsidR="00C37D18" w:rsidRPr="001816B0" w:rsidRDefault="00C37D18" w:rsidP="00C37D18">
            <w:pPr>
              <w:pStyle w:val="ListParagraph"/>
              <w:numPr>
                <w:ilvl w:val="0"/>
                <w:numId w:val="33"/>
              </w:numPr>
              <w:spacing w:before="60" w:after="0" w:line="240" w:lineRule="auto"/>
              <w:jc w:val="both"/>
              <w:rPr>
                <w:rFonts w:asciiTheme="minorHAnsi" w:eastAsia="Arial Unicode MS" w:hAnsiTheme="minorHAnsi" w:cstheme="minorHAnsi"/>
              </w:rPr>
            </w:pPr>
            <w:r w:rsidRPr="001816B0">
              <w:rPr>
                <w:rFonts w:asciiTheme="minorHAnsi" w:eastAsia="Arial Unicode MS" w:hAnsiTheme="minorHAnsi" w:cstheme="minorHAnsi"/>
              </w:rPr>
              <w:t>Poor wound healing</w:t>
            </w:r>
          </w:p>
          <w:p w:rsidR="00C37D18" w:rsidRPr="001816B0" w:rsidRDefault="00C37D18" w:rsidP="00C37D18">
            <w:pPr>
              <w:pStyle w:val="ListParagraph"/>
              <w:numPr>
                <w:ilvl w:val="0"/>
                <w:numId w:val="33"/>
              </w:numPr>
              <w:spacing w:before="60" w:after="0" w:line="240" w:lineRule="auto"/>
              <w:jc w:val="both"/>
              <w:rPr>
                <w:rFonts w:asciiTheme="minorHAnsi" w:eastAsia="Arial Unicode MS" w:hAnsiTheme="minorHAnsi" w:cstheme="minorHAnsi"/>
              </w:rPr>
            </w:pPr>
            <w:r w:rsidRPr="001816B0">
              <w:rPr>
                <w:rFonts w:asciiTheme="minorHAnsi" w:eastAsia="Arial Unicode MS" w:hAnsiTheme="minorHAnsi" w:cstheme="minorHAnsi"/>
              </w:rPr>
              <w:t>Neurosensory changes i.e. burning mouth syndrome</w:t>
            </w:r>
          </w:p>
          <w:p w:rsidR="00C37D18" w:rsidRPr="001816B0" w:rsidRDefault="00C37D18" w:rsidP="00C37D18">
            <w:pPr>
              <w:pStyle w:val="ListParagraph"/>
              <w:numPr>
                <w:ilvl w:val="0"/>
                <w:numId w:val="26"/>
              </w:numPr>
              <w:spacing w:before="60" w:after="0" w:line="240" w:lineRule="auto"/>
              <w:ind w:left="426" w:hanging="284"/>
              <w:jc w:val="both"/>
              <w:rPr>
                <w:rFonts w:asciiTheme="minorHAnsi" w:eastAsia="Arial Unicode MS" w:hAnsiTheme="minorHAnsi" w:cstheme="minorHAnsi"/>
              </w:rPr>
            </w:pPr>
            <w:r w:rsidRPr="00EC69C9">
              <w:rPr>
                <w:rFonts w:eastAsia="Arial Unicode MS" w:cstheme="minorHAnsi"/>
              </w:rPr>
              <w:t xml:space="preserve">Provide patients with information about the relationship between diabetes and oral health, </w:t>
            </w:r>
            <w:r w:rsidRPr="001816B0">
              <w:rPr>
                <w:rFonts w:eastAsia="Arial Unicode MS" w:cstheme="minorHAnsi"/>
              </w:rPr>
              <w:t>advise and reinforce to patients that adequate day-to-day oral care is a normal patient responsibility in diabetes self-management</w:t>
            </w:r>
            <w:r>
              <w:rPr>
                <w:rFonts w:eastAsia="Arial Unicode MS" w:cstheme="minorHAnsi"/>
              </w:rPr>
              <w:t xml:space="preserve"> and</w:t>
            </w:r>
            <w:r w:rsidRPr="00EC69C9">
              <w:rPr>
                <w:rFonts w:eastAsia="Arial Unicode MS" w:cstheme="minorHAnsi"/>
              </w:rPr>
              <w:t xml:space="preserve"> for maintaining good oral health, and</w:t>
            </w:r>
            <w:r>
              <w:rPr>
                <w:rFonts w:eastAsia="Arial Unicode MS" w:cstheme="minorHAnsi"/>
              </w:rPr>
              <w:t xml:space="preserve"> the need for regular check-ups</w:t>
            </w:r>
            <w:r w:rsidR="00CF34DB">
              <w:rPr>
                <w:rFonts w:eastAsia="Arial Unicode MS" w:cstheme="minorHAnsi"/>
              </w:rPr>
              <w:t xml:space="preserve"> </w:t>
            </w:r>
            <w:r w:rsidRPr="00EC69C9">
              <w:rPr>
                <w:rFonts w:eastAsia="Arial Unicode MS" w:cstheme="minorHAnsi"/>
              </w:rPr>
              <w:t>(A) (B)</w:t>
            </w:r>
          </w:p>
          <w:p w:rsidR="00C37D18" w:rsidRPr="001816B0" w:rsidRDefault="00C37D18" w:rsidP="00C37D18">
            <w:pPr>
              <w:pStyle w:val="ListParagraph"/>
              <w:numPr>
                <w:ilvl w:val="0"/>
                <w:numId w:val="26"/>
              </w:numPr>
              <w:spacing w:before="60" w:after="0" w:line="240" w:lineRule="auto"/>
              <w:ind w:left="426" w:hanging="284"/>
              <w:jc w:val="both"/>
              <w:rPr>
                <w:rFonts w:asciiTheme="minorHAnsi" w:eastAsia="Arial Unicode MS" w:hAnsiTheme="minorHAnsi" w:cstheme="minorHAnsi"/>
              </w:rPr>
            </w:pPr>
            <w:r w:rsidRPr="00EC69C9">
              <w:rPr>
                <w:rFonts w:asciiTheme="minorHAnsi" w:eastAsia="Arial Unicode MS" w:hAnsiTheme="minorHAnsi" w:cstheme="minorHAnsi"/>
              </w:rPr>
              <w:t>Establish referral pathways that enable the exchange of information between MOHP and primary care practices to manage care for patients with diabetes (B)</w:t>
            </w:r>
          </w:p>
          <w:p w:rsidR="00C37D18" w:rsidRPr="00EC69C9" w:rsidRDefault="00C37D18" w:rsidP="00C37D18">
            <w:pPr>
              <w:pStyle w:val="ListParagraph"/>
              <w:numPr>
                <w:ilvl w:val="0"/>
                <w:numId w:val="26"/>
              </w:numPr>
              <w:spacing w:before="60" w:after="0" w:line="240" w:lineRule="auto"/>
              <w:ind w:left="426" w:hanging="284"/>
              <w:jc w:val="both"/>
              <w:rPr>
                <w:rFonts w:asciiTheme="minorHAnsi" w:eastAsia="Arial Unicode MS" w:hAnsiTheme="minorHAnsi" w:cstheme="minorHAnsi"/>
                <w:b/>
              </w:rPr>
            </w:pPr>
            <w:r w:rsidRPr="00EC69C9">
              <w:rPr>
                <w:rFonts w:asciiTheme="minorHAnsi" w:eastAsia="Arial Unicode MS" w:hAnsiTheme="minorHAnsi" w:cstheme="minorHAnsi"/>
              </w:rPr>
              <w:t>Record patient status and document all actions in the patient information system (A) (B)</w:t>
            </w:r>
          </w:p>
        </w:tc>
      </w:tr>
      <w:tr w:rsidR="00C37D18" w:rsidTr="00C37D18">
        <w:trPr>
          <w:trHeight w:val="274"/>
        </w:trPr>
        <w:tc>
          <w:tcPr>
            <w:tcW w:w="9039" w:type="dxa"/>
            <w:tcBorders>
              <w:top w:val="single" w:sz="4" w:space="0" w:color="42D0B8"/>
              <w:left w:val="single" w:sz="4" w:space="0" w:color="42D0B8"/>
              <w:bottom w:val="single" w:sz="4" w:space="0" w:color="42D0B8"/>
              <w:right w:val="single" w:sz="4" w:space="0" w:color="42D0B8"/>
            </w:tcBorders>
            <w:hideMark/>
          </w:tcPr>
          <w:p w:rsidR="00C37D18" w:rsidRDefault="00C37D18" w:rsidP="00C37D18">
            <w:pPr>
              <w:spacing w:before="120" w:after="120"/>
              <w:jc w:val="both"/>
              <w:rPr>
                <w:rFonts w:eastAsia="Arial Unicode MS" w:cstheme="minorHAnsi"/>
                <w:b/>
              </w:rPr>
            </w:pPr>
            <w:r>
              <w:rPr>
                <w:rFonts w:eastAsia="Arial Unicode MS" w:cstheme="minorHAnsi"/>
                <w:b/>
              </w:rPr>
              <w:lastRenderedPageBreak/>
              <w:t>FOCUS</w:t>
            </w:r>
          </w:p>
          <w:p w:rsidR="00C37D18" w:rsidRDefault="00C37D18" w:rsidP="00C37D18">
            <w:pPr>
              <w:pStyle w:val="ListParagraph"/>
              <w:numPr>
                <w:ilvl w:val="0"/>
                <w:numId w:val="26"/>
              </w:numPr>
              <w:spacing w:before="60" w:after="0" w:line="240" w:lineRule="auto"/>
              <w:ind w:left="426" w:hanging="284"/>
              <w:jc w:val="both"/>
              <w:rPr>
                <w:rFonts w:asciiTheme="minorHAnsi" w:eastAsia="Arial Unicode MS" w:hAnsiTheme="minorHAnsi" w:cstheme="minorHAnsi"/>
              </w:rPr>
            </w:pPr>
            <w:r>
              <w:rPr>
                <w:rFonts w:asciiTheme="minorHAnsi" w:eastAsia="Arial Unicode MS" w:hAnsiTheme="minorHAnsi" w:cstheme="minorHAnsi"/>
              </w:rPr>
              <w:t xml:space="preserve">Hold an MOHP oral health team meeting to clarify roles and responsibilities of the team in diabetes care, identify barriers that may prevent involvement, and ways to facilitate greater involvement (A) (B)  </w:t>
            </w:r>
          </w:p>
          <w:p w:rsidR="00C37D18" w:rsidRDefault="00C37D18" w:rsidP="00C37D18">
            <w:pPr>
              <w:pStyle w:val="ListParagraph"/>
              <w:numPr>
                <w:ilvl w:val="0"/>
                <w:numId w:val="26"/>
              </w:numPr>
              <w:spacing w:before="60" w:after="0" w:line="240" w:lineRule="auto"/>
              <w:ind w:left="426" w:hanging="284"/>
              <w:jc w:val="both"/>
              <w:rPr>
                <w:rFonts w:asciiTheme="minorHAnsi" w:eastAsia="Arial Unicode MS" w:hAnsiTheme="minorHAnsi" w:cstheme="minorHAnsi"/>
              </w:rPr>
            </w:pPr>
            <w:r>
              <w:rPr>
                <w:rFonts w:asciiTheme="minorHAnsi" w:eastAsia="Arial Unicode MS" w:hAnsiTheme="minorHAnsi" w:cstheme="minorHAnsi"/>
              </w:rPr>
              <w:t>Māori oral health services and primary care services (appropriate primary health care practitioner, diabetes services) must meet to establish and maintain effective integration and coordination practices for working with patients with diabetes, who have been identified as at risk of, or who have existing oral health problems (B)</w:t>
            </w:r>
          </w:p>
          <w:p w:rsidR="00C37D18" w:rsidRPr="001866A5" w:rsidRDefault="00C37D18" w:rsidP="00C37D18">
            <w:pPr>
              <w:pStyle w:val="ListParagraph"/>
              <w:numPr>
                <w:ilvl w:val="0"/>
                <w:numId w:val="26"/>
              </w:numPr>
              <w:spacing w:before="60" w:after="0" w:line="240" w:lineRule="auto"/>
              <w:ind w:left="426" w:hanging="284"/>
              <w:jc w:val="both"/>
              <w:rPr>
                <w:rFonts w:asciiTheme="minorHAnsi" w:eastAsia="Arial Unicode MS" w:hAnsiTheme="minorHAnsi" w:cstheme="minorHAnsi"/>
              </w:rPr>
            </w:pPr>
            <w:r w:rsidRPr="001866A5">
              <w:rPr>
                <w:rFonts w:asciiTheme="minorHAnsi" w:eastAsia="Arial Unicode MS" w:hAnsiTheme="minorHAnsi" w:cstheme="minorHAnsi"/>
              </w:rPr>
              <w:t>Oral health practitioners should complete appropriate training so they can become experienced in delive</w:t>
            </w:r>
            <w:r>
              <w:rPr>
                <w:rFonts w:asciiTheme="minorHAnsi" w:eastAsia="Arial Unicode MS" w:hAnsiTheme="minorHAnsi" w:cstheme="minorHAnsi"/>
              </w:rPr>
              <w:t xml:space="preserve">ring nutrition </w:t>
            </w:r>
            <w:r w:rsidRPr="001866A5">
              <w:rPr>
                <w:rFonts w:asciiTheme="minorHAnsi" w:eastAsia="Arial Unicode MS" w:hAnsiTheme="minorHAnsi" w:cstheme="minorHAnsi"/>
              </w:rPr>
              <w:t>promotion messages to support patients to actively participate in programmes aimed at weight reduction</w:t>
            </w:r>
            <w:r>
              <w:rPr>
                <w:rFonts w:asciiTheme="minorHAnsi" w:eastAsia="Arial Unicode MS" w:hAnsiTheme="minorHAnsi" w:cstheme="minorHAnsi"/>
              </w:rPr>
              <w:t xml:space="preserve"> </w:t>
            </w:r>
            <w:r w:rsidRPr="001866A5">
              <w:rPr>
                <w:rFonts w:asciiTheme="minorHAnsi" w:eastAsia="Arial Unicode MS" w:hAnsiTheme="minorHAnsi" w:cstheme="minorHAnsi"/>
              </w:rPr>
              <w:t>(A)</w:t>
            </w:r>
          </w:p>
          <w:p w:rsidR="00C37D18" w:rsidRDefault="00C37D18" w:rsidP="00C37D18">
            <w:pPr>
              <w:pStyle w:val="ListParagraph"/>
              <w:numPr>
                <w:ilvl w:val="0"/>
                <w:numId w:val="26"/>
              </w:numPr>
              <w:spacing w:before="60" w:after="0" w:line="240" w:lineRule="auto"/>
              <w:ind w:left="426" w:hanging="284"/>
              <w:jc w:val="both"/>
              <w:rPr>
                <w:rFonts w:asciiTheme="minorHAnsi" w:eastAsia="Arial Unicode MS" w:hAnsiTheme="minorHAnsi" w:cstheme="minorHAnsi"/>
              </w:rPr>
            </w:pPr>
            <w:r>
              <w:rPr>
                <w:rFonts w:asciiTheme="minorHAnsi" w:eastAsia="Arial Unicode MS" w:hAnsiTheme="minorHAnsi" w:cstheme="minorHAnsi"/>
              </w:rPr>
              <w:t>All MOHP staff must participate in a hui with their diabetes services to review referral pathways and processes for effective exchange of information</w:t>
            </w:r>
          </w:p>
          <w:p w:rsidR="00C37D18" w:rsidRDefault="00C37D18" w:rsidP="00C37D18">
            <w:pPr>
              <w:pStyle w:val="ListParagraph"/>
              <w:numPr>
                <w:ilvl w:val="0"/>
                <w:numId w:val="26"/>
              </w:numPr>
              <w:spacing w:before="60" w:after="0" w:line="240" w:lineRule="auto"/>
              <w:ind w:left="426" w:hanging="284"/>
              <w:jc w:val="both"/>
              <w:rPr>
                <w:rFonts w:asciiTheme="minorHAnsi" w:eastAsia="Arial Unicode MS" w:hAnsiTheme="minorHAnsi" w:cstheme="minorHAnsi"/>
              </w:rPr>
            </w:pPr>
            <w:r>
              <w:rPr>
                <w:rFonts w:asciiTheme="minorHAnsi" w:eastAsia="Arial Unicode MS" w:hAnsiTheme="minorHAnsi" w:cstheme="minorHAnsi"/>
              </w:rPr>
              <w:t>Increase awareness of other programmes and support services being accessed by, and available to people with diabetes (B)</w:t>
            </w:r>
            <w:r w:rsidR="005C7E60">
              <w:rPr>
                <w:rFonts w:asciiTheme="minorHAnsi" w:eastAsia="Arial Unicode MS" w:hAnsiTheme="minorHAnsi" w:cstheme="minorHAnsi"/>
              </w:rPr>
              <w:t>.</w:t>
            </w:r>
            <w:r>
              <w:rPr>
                <w:rFonts w:asciiTheme="minorHAnsi" w:eastAsia="Arial Unicode MS" w:hAnsiTheme="minorHAnsi" w:cstheme="minorHAnsi"/>
              </w:rPr>
              <w:t xml:space="preserve"> This will ensure oral health practitioners have confidence in the range of programmes, and that they are appropriate for whanau/families. </w:t>
            </w:r>
          </w:p>
          <w:p w:rsidR="00C37D18" w:rsidRDefault="00C37D18" w:rsidP="00C37D18">
            <w:pPr>
              <w:pStyle w:val="ListParagraph"/>
              <w:numPr>
                <w:ilvl w:val="0"/>
                <w:numId w:val="26"/>
              </w:numPr>
              <w:spacing w:before="60" w:after="0" w:line="240" w:lineRule="auto"/>
              <w:ind w:left="426" w:hanging="284"/>
              <w:jc w:val="both"/>
              <w:rPr>
                <w:rFonts w:asciiTheme="minorHAnsi" w:eastAsia="Arial Unicode MS" w:hAnsiTheme="minorHAnsi" w:cstheme="minorHAnsi"/>
              </w:rPr>
            </w:pPr>
            <w:r>
              <w:rPr>
                <w:rFonts w:asciiTheme="minorHAnsi" w:eastAsia="Arial Unicode MS" w:hAnsiTheme="minorHAnsi" w:cstheme="minorHAnsi"/>
              </w:rPr>
              <w:t>MOHP should be informed of local diabetes services and initiatives (B) and consider the role they can play in the advocacy of wider diabetes activities to actively contribute to the impact of diabetes in their community (A)</w:t>
            </w:r>
          </w:p>
        </w:tc>
      </w:tr>
    </w:tbl>
    <w:p w:rsidR="00C37D18" w:rsidRDefault="00C37D18" w:rsidP="00C37D18">
      <w:pPr>
        <w:autoSpaceDE w:val="0"/>
        <w:autoSpaceDN w:val="0"/>
        <w:adjustRightInd w:val="0"/>
        <w:jc w:val="both"/>
        <w:rPr>
          <w:rFonts w:eastAsia="Arial Unicode MS" w:cstheme="minorHAnsi"/>
          <w:sz w:val="16"/>
          <w:szCs w:val="16"/>
          <w:lang w:eastAsia="en-NZ"/>
        </w:rPr>
      </w:pPr>
    </w:p>
    <w:p w:rsidR="00C37D18" w:rsidRDefault="00C37D18" w:rsidP="00C37D18">
      <w:pPr>
        <w:autoSpaceDE w:val="0"/>
        <w:autoSpaceDN w:val="0"/>
        <w:adjustRightInd w:val="0"/>
        <w:jc w:val="both"/>
        <w:rPr>
          <w:rFonts w:eastAsia="Arial Unicode MS" w:cstheme="minorHAnsi"/>
          <w:sz w:val="16"/>
          <w:szCs w:val="16"/>
          <w:lang w:eastAsia="en-NZ"/>
        </w:rPr>
      </w:pPr>
      <w:r>
        <w:rPr>
          <w:rFonts w:eastAsia="Arial Unicode MS" w:cstheme="minorHAnsi"/>
          <w:sz w:val="16"/>
          <w:szCs w:val="16"/>
          <w:lang w:eastAsia="en-NZ"/>
        </w:rPr>
        <w:t>Key to Grades of Recommendations</w:t>
      </w:r>
    </w:p>
    <w:p w:rsidR="00C37D18" w:rsidRDefault="00C37D18" w:rsidP="00C37D18">
      <w:pPr>
        <w:autoSpaceDE w:val="0"/>
        <w:autoSpaceDN w:val="0"/>
        <w:adjustRightInd w:val="0"/>
        <w:jc w:val="both"/>
        <w:rPr>
          <w:rFonts w:eastAsia="Arial Unicode MS" w:cstheme="minorHAnsi"/>
          <w:sz w:val="16"/>
          <w:szCs w:val="16"/>
          <w:lang w:eastAsia="en-NZ"/>
        </w:rPr>
      </w:pPr>
      <w:r>
        <w:rPr>
          <w:rFonts w:eastAsia="Arial Unicode MS" w:cstheme="minorHAnsi"/>
          <w:sz w:val="16"/>
          <w:szCs w:val="16"/>
          <w:lang w:eastAsia="en-NZ"/>
        </w:rPr>
        <w:t>A: The recommendation is supported by GOOD (strong) evidence.</w:t>
      </w:r>
    </w:p>
    <w:p w:rsidR="00C37D18" w:rsidRDefault="00C37D18" w:rsidP="00C37D18">
      <w:pPr>
        <w:autoSpaceDE w:val="0"/>
        <w:autoSpaceDN w:val="0"/>
        <w:adjustRightInd w:val="0"/>
        <w:jc w:val="both"/>
        <w:rPr>
          <w:rFonts w:eastAsia="Arial Unicode MS" w:cstheme="minorHAnsi"/>
        </w:rPr>
      </w:pPr>
      <w:r>
        <w:rPr>
          <w:rFonts w:eastAsia="Arial Unicode MS" w:cstheme="minorHAnsi"/>
          <w:sz w:val="16"/>
          <w:szCs w:val="16"/>
          <w:lang w:eastAsia="en-NZ"/>
        </w:rPr>
        <w:t xml:space="preserve">B: The integrated best practice is supported by the Māori oral health provider Quality Improvement Group. </w:t>
      </w:r>
    </w:p>
    <w:p w:rsidR="00C37D18" w:rsidRDefault="00C37D18" w:rsidP="00C37D18">
      <w:pPr>
        <w:pStyle w:val="generalsubheading"/>
      </w:pPr>
    </w:p>
    <w:p w:rsidR="00C37D18" w:rsidRDefault="00C37D18" w:rsidP="00C37D18">
      <w:pPr>
        <w:pStyle w:val="generalsubheading"/>
      </w:pPr>
      <w:bookmarkStart w:id="31" w:name="_Toc473485933"/>
      <w:r>
        <w:t>OTHER KEY GUIDELINES AND DOCUMENTS</w:t>
      </w:r>
      <w:bookmarkEnd w:id="31"/>
    </w:p>
    <w:p w:rsidR="00C37D18" w:rsidRPr="00C37D18" w:rsidRDefault="00C37D18" w:rsidP="00C37D18">
      <w:pPr>
        <w:spacing w:before="120" w:after="120"/>
        <w:rPr>
          <w:rFonts w:cs="Tiempos Text Regular"/>
          <w:color w:val="000000"/>
          <w:sz w:val="22"/>
          <w:szCs w:val="22"/>
        </w:rPr>
      </w:pPr>
      <w:r w:rsidRPr="00C37D18">
        <w:rPr>
          <w:rFonts w:cs="Tiempos Text Regular"/>
          <w:color w:val="000000"/>
          <w:sz w:val="22"/>
          <w:szCs w:val="22"/>
        </w:rPr>
        <w:t xml:space="preserve">CDC. Oral Health and Diabetes: What dental professionals want team members to know about oral health and diabetes. In Working together to Manage Diabetes. A Guide for Pharmacy, Optometry, Podiatry, and Dentistry. Available online at: </w:t>
      </w:r>
      <w:hyperlink r:id="rId21" w:history="1">
        <w:r w:rsidRPr="00C37D18">
          <w:rPr>
            <w:rStyle w:val="Hyperlink"/>
            <w:rFonts w:cs="Tiempos Text Regular"/>
            <w:sz w:val="22"/>
            <w:szCs w:val="22"/>
          </w:rPr>
          <w:t>http://www.cdc.gov/diabetes/ndep/ppod.htm</w:t>
        </w:r>
      </w:hyperlink>
    </w:p>
    <w:p w:rsidR="00C37D18" w:rsidRPr="00C37D18" w:rsidRDefault="00C37D18" w:rsidP="00C37D18">
      <w:pPr>
        <w:pStyle w:val="EndNoteBibliography"/>
      </w:pPr>
      <w:r w:rsidRPr="00C37D18">
        <w:t>Ministry of Health. 2011. Targeting Diabetes and Cardiovascular Disease. Wellington: Ministry of Health.</w:t>
      </w:r>
    </w:p>
    <w:p w:rsidR="00C37D18" w:rsidRPr="00C37D18" w:rsidRDefault="00C37D18" w:rsidP="00C37D18">
      <w:pPr>
        <w:spacing w:before="120" w:after="120"/>
        <w:rPr>
          <w:rFonts w:cs="Tiempos Text Regular"/>
          <w:color w:val="000000"/>
          <w:sz w:val="22"/>
          <w:szCs w:val="22"/>
        </w:rPr>
      </w:pPr>
      <w:r w:rsidRPr="00C37D18">
        <w:rPr>
          <w:rFonts w:cs="Tiempos Text Regular"/>
          <w:color w:val="000000"/>
          <w:sz w:val="22"/>
          <w:szCs w:val="22"/>
        </w:rPr>
        <w:t xml:space="preserve">Ministry of Health. 2014. </w:t>
      </w:r>
      <w:r w:rsidRPr="00C37D18">
        <w:rPr>
          <w:rFonts w:cs="Tiempos Text Regular"/>
          <w:i/>
          <w:iCs/>
          <w:color w:val="000000"/>
          <w:sz w:val="22"/>
          <w:szCs w:val="22"/>
        </w:rPr>
        <w:t>National Diabetes Work Programme.</w:t>
      </w:r>
      <w:r w:rsidR="000A7B10">
        <w:rPr>
          <w:rFonts w:cs="Tiempos Text Regular"/>
          <w:i/>
          <w:iCs/>
          <w:color w:val="000000"/>
          <w:sz w:val="22"/>
          <w:szCs w:val="22"/>
        </w:rPr>
        <w:t xml:space="preserve"> </w:t>
      </w:r>
      <w:r w:rsidRPr="00C37D18">
        <w:rPr>
          <w:rFonts w:cs="Tiempos Text Regular"/>
          <w:color w:val="000000"/>
          <w:sz w:val="22"/>
          <w:szCs w:val="22"/>
        </w:rPr>
        <w:t>Wellington: Ministry of Health.</w:t>
      </w:r>
    </w:p>
    <w:p w:rsidR="00C37D18" w:rsidRPr="00DA23C9" w:rsidRDefault="00C37D18" w:rsidP="00C37D18">
      <w:pPr>
        <w:spacing w:before="120" w:after="120"/>
      </w:pPr>
    </w:p>
    <w:p w:rsidR="00C37D18" w:rsidRPr="00C37D18" w:rsidRDefault="00C37D18" w:rsidP="00C37D18">
      <w:pPr>
        <w:pStyle w:val="Heading2"/>
        <w:rPr>
          <w:lang w:val="en-NZ"/>
        </w:rPr>
      </w:pPr>
    </w:p>
    <w:p w:rsidR="0017504A" w:rsidRPr="002A2F79" w:rsidRDefault="0017504A">
      <w:pPr>
        <w:jc w:val="both"/>
        <w:rPr>
          <w:rFonts w:asciiTheme="minorHAnsi" w:eastAsia="Arial Unicode MS" w:hAnsiTheme="minorHAnsi" w:cstheme="minorHAnsi"/>
        </w:rPr>
      </w:pPr>
    </w:p>
    <w:p w:rsidR="0017504A" w:rsidRDefault="002D45D4" w:rsidP="0036356E">
      <w:pPr>
        <w:pStyle w:val="Heading1"/>
      </w:pPr>
      <w:r w:rsidRPr="005F0AA6">
        <w:br w:type="page"/>
      </w:r>
      <w:bookmarkStart w:id="32" w:name="_Toc473485934"/>
      <w:r w:rsidRPr="005F0AA6">
        <w:lastRenderedPageBreak/>
        <w:t>REFERENCES</w:t>
      </w:r>
      <w:bookmarkEnd w:id="32"/>
    </w:p>
    <w:p w:rsidR="0035756A" w:rsidRPr="0035756A" w:rsidRDefault="0035756A">
      <w:pPr>
        <w:jc w:val="both"/>
        <w:rPr>
          <w:rFonts w:asciiTheme="minorHAnsi" w:hAnsiTheme="minorHAnsi" w:cstheme="minorHAnsi"/>
          <w:sz w:val="22"/>
          <w:szCs w:val="22"/>
          <w:shd w:val="clear" w:color="auto" w:fill="FFFFFF"/>
        </w:rPr>
      </w:pPr>
      <w:r w:rsidRPr="0035756A">
        <w:rPr>
          <w:rFonts w:asciiTheme="minorHAnsi" w:hAnsiTheme="minorHAnsi" w:cstheme="minorHAnsi"/>
          <w:sz w:val="22"/>
          <w:szCs w:val="22"/>
          <w:shd w:val="clear" w:color="auto" w:fill="FFFFFF"/>
        </w:rPr>
        <w:t xml:space="preserve">ASH. (2009). Smoking and DiseaseASH New Zealand factsheet. Accessed online at: </w:t>
      </w:r>
      <w:hyperlink r:id="rId22" w:history="1">
        <w:r w:rsidRPr="0035756A">
          <w:rPr>
            <w:rStyle w:val="Hyperlink"/>
            <w:sz w:val="22"/>
            <w:szCs w:val="22"/>
          </w:rPr>
          <w:t>http://www.ash.org.nz/research-and-information/factsheets/</w:t>
        </w:r>
      </w:hyperlink>
      <w:r w:rsidRPr="0035756A">
        <w:rPr>
          <w:sz w:val="22"/>
          <w:szCs w:val="22"/>
        </w:rPr>
        <w:t xml:space="preserve"> 30 August 2013.</w:t>
      </w:r>
    </w:p>
    <w:p w:rsidR="0035756A" w:rsidRDefault="0035756A">
      <w:pPr>
        <w:jc w:val="both"/>
        <w:rPr>
          <w:rFonts w:asciiTheme="minorHAnsi" w:hAnsiTheme="minorHAnsi" w:cstheme="minorHAnsi"/>
          <w:sz w:val="22"/>
          <w:szCs w:val="22"/>
          <w:shd w:val="clear" w:color="auto" w:fill="FFFFFF"/>
        </w:rPr>
      </w:pPr>
    </w:p>
    <w:p w:rsidR="00F72092" w:rsidRDefault="00CE609A">
      <w:pPr>
        <w:jc w:val="both"/>
        <w:rPr>
          <w:rFonts w:asciiTheme="minorHAnsi" w:hAnsiTheme="minorHAnsi" w:cstheme="minorHAnsi"/>
          <w:sz w:val="22"/>
          <w:szCs w:val="22"/>
          <w:shd w:val="clear" w:color="auto" w:fill="FFFFFF"/>
        </w:rPr>
      </w:pPr>
      <w:r w:rsidRPr="00EA3E2E">
        <w:rPr>
          <w:rFonts w:asciiTheme="minorHAnsi" w:hAnsiTheme="minorHAnsi" w:cstheme="minorHAnsi"/>
          <w:sz w:val="22"/>
          <w:szCs w:val="22"/>
          <w:shd w:val="clear" w:color="auto" w:fill="FFFFFF"/>
        </w:rPr>
        <w:t>Beaglehole R</w:t>
      </w:r>
      <w:r w:rsidR="00F5748B" w:rsidRPr="00EA3E2E">
        <w:rPr>
          <w:rFonts w:asciiTheme="minorHAnsi" w:hAnsiTheme="minorHAnsi" w:cstheme="minorHAnsi"/>
          <w:sz w:val="22"/>
          <w:szCs w:val="22"/>
          <w:shd w:val="clear" w:color="auto" w:fill="FFFFFF"/>
        </w:rPr>
        <w:t>.</w:t>
      </w:r>
      <w:r w:rsidRPr="00EA3E2E">
        <w:rPr>
          <w:rFonts w:asciiTheme="minorHAnsi" w:hAnsiTheme="minorHAnsi" w:cstheme="minorHAnsi"/>
          <w:sz w:val="22"/>
          <w:szCs w:val="22"/>
          <w:shd w:val="clear" w:color="auto" w:fill="FFFFFF"/>
        </w:rPr>
        <w:t xml:space="preserve">, Watt RG. (2004). </w:t>
      </w:r>
      <w:r w:rsidRPr="00EA3E2E">
        <w:rPr>
          <w:rFonts w:asciiTheme="minorHAnsi" w:hAnsiTheme="minorHAnsi" w:cstheme="minorHAnsi"/>
          <w:i/>
          <w:sz w:val="22"/>
          <w:szCs w:val="22"/>
          <w:shd w:val="clear" w:color="auto" w:fill="FFFFFF"/>
        </w:rPr>
        <w:t>Help smokers stop: A guide for the dental team</w:t>
      </w:r>
      <w:r w:rsidR="007D1DA7">
        <w:rPr>
          <w:rFonts w:asciiTheme="minorHAnsi" w:hAnsiTheme="minorHAnsi" w:cstheme="minorHAnsi"/>
          <w:sz w:val="22"/>
          <w:szCs w:val="22"/>
          <w:shd w:val="clear" w:color="auto" w:fill="FFFFFF"/>
        </w:rPr>
        <w:t xml:space="preserve">. London: </w:t>
      </w:r>
      <w:r w:rsidRPr="00EA3E2E">
        <w:rPr>
          <w:rFonts w:asciiTheme="minorHAnsi" w:hAnsiTheme="minorHAnsi" w:cstheme="minorHAnsi"/>
          <w:sz w:val="22"/>
          <w:szCs w:val="22"/>
          <w:shd w:val="clear" w:color="auto" w:fill="FFFFFF"/>
        </w:rPr>
        <w:t>Health Development Agency.</w:t>
      </w:r>
      <w:r w:rsidR="00F72092">
        <w:rPr>
          <w:rFonts w:asciiTheme="minorHAnsi" w:hAnsiTheme="minorHAnsi" w:cstheme="minorHAnsi"/>
          <w:sz w:val="22"/>
          <w:szCs w:val="22"/>
          <w:shd w:val="clear" w:color="auto" w:fill="FFFFFF"/>
        </w:rPr>
        <w:t xml:space="preserve"> </w:t>
      </w:r>
    </w:p>
    <w:p w:rsidR="00F72092" w:rsidRDefault="00F72092">
      <w:pPr>
        <w:jc w:val="both"/>
        <w:rPr>
          <w:rFonts w:asciiTheme="minorHAnsi" w:hAnsiTheme="minorHAnsi" w:cstheme="minorHAnsi"/>
          <w:sz w:val="22"/>
          <w:szCs w:val="22"/>
          <w:shd w:val="clear" w:color="auto" w:fill="FFFFFF"/>
        </w:rPr>
      </w:pPr>
    </w:p>
    <w:p w:rsidR="00B30B57" w:rsidRDefault="00F72092">
      <w:pPr>
        <w:jc w:val="both"/>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 xml:space="preserve">Blakely T., Shaw C., Atkinson J. (2010). </w:t>
      </w:r>
      <w:r w:rsidRPr="00F72092">
        <w:rPr>
          <w:rFonts w:asciiTheme="minorHAnsi" w:hAnsiTheme="minorHAnsi" w:cstheme="minorHAnsi"/>
          <w:i/>
          <w:sz w:val="22"/>
          <w:szCs w:val="22"/>
          <w:shd w:val="clear" w:color="auto" w:fill="FFFFFF"/>
        </w:rPr>
        <w:t>Cancer trends: trends in incidence by ethnic and socioeconomic group, New Zealand 1981-2004</w:t>
      </w:r>
      <w:r w:rsidR="007D1DA7">
        <w:rPr>
          <w:rFonts w:asciiTheme="minorHAnsi" w:hAnsiTheme="minorHAnsi" w:cstheme="minorHAnsi"/>
          <w:sz w:val="22"/>
          <w:szCs w:val="22"/>
          <w:shd w:val="clear" w:color="auto" w:fill="FFFFFF"/>
        </w:rPr>
        <w:t xml:space="preserve">. Wellington: </w:t>
      </w:r>
      <w:r>
        <w:rPr>
          <w:rFonts w:asciiTheme="minorHAnsi" w:hAnsiTheme="minorHAnsi" w:cstheme="minorHAnsi"/>
          <w:sz w:val="22"/>
          <w:szCs w:val="22"/>
          <w:shd w:val="clear" w:color="auto" w:fill="FFFFFF"/>
        </w:rPr>
        <w:t xml:space="preserve">Ministry of Health. </w:t>
      </w:r>
      <w:r w:rsidR="00B30B57">
        <w:rPr>
          <w:rFonts w:asciiTheme="minorHAnsi" w:hAnsiTheme="minorHAnsi" w:cstheme="minorHAnsi"/>
          <w:sz w:val="22"/>
          <w:szCs w:val="22"/>
          <w:shd w:val="clear" w:color="auto" w:fill="FFFFFF"/>
        </w:rPr>
        <w:t xml:space="preserve"> </w:t>
      </w:r>
    </w:p>
    <w:p w:rsidR="00EA0E39" w:rsidRDefault="00EA0E39">
      <w:pPr>
        <w:jc w:val="both"/>
        <w:rPr>
          <w:rFonts w:asciiTheme="minorHAnsi" w:hAnsiTheme="minorHAnsi" w:cstheme="minorHAnsi"/>
          <w:sz w:val="22"/>
          <w:szCs w:val="22"/>
          <w:shd w:val="clear" w:color="auto" w:fill="FFFFFF"/>
        </w:rPr>
      </w:pPr>
    </w:p>
    <w:p w:rsidR="0017504A" w:rsidRDefault="00B30B57">
      <w:pPr>
        <w:jc w:val="both"/>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 xml:space="preserve">Blot WJ., McLauglin JK., Winn DM et al. (1988). Smoking and drinking in relation to oral and pharyngeal cancer. </w:t>
      </w:r>
      <w:r w:rsidRPr="00B30B57">
        <w:rPr>
          <w:rFonts w:asciiTheme="minorHAnsi" w:hAnsiTheme="minorHAnsi" w:cstheme="minorHAnsi"/>
          <w:i/>
          <w:sz w:val="22"/>
          <w:szCs w:val="22"/>
          <w:shd w:val="clear" w:color="auto" w:fill="FFFFFF"/>
        </w:rPr>
        <w:t>Cancer Res</w:t>
      </w:r>
      <w:r>
        <w:rPr>
          <w:rFonts w:asciiTheme="minorHAnsi" w:hAnsiTheme="minorHAnsi" w:cstheme="minorHAnsi"/>
          <w:sz w:val="22"/>
          <w:szCs w:val="22"/>
          <w:shd w:val="clear" w:color="auto" w:fill="FFFFFF"/>
        </w:rPr>
        <w:t>. 48(11):3282-7.</w:t>
      </w:r>
    </w:p>
    <w:p w:rsidR="00E978DA" w:rsidRDefault="00E978DA" w:rsidP="00B04094">
      <w:pPr>
        <w:pStyle w:val="ecxmsonormal"/>
        <w:shd w:val="clear" w:color="auto" w:fill="FFFFFF"/>
        <w:spacing w:before="100" w:beforeAutospacing="1" w:after="100" w:afterAutospacing="1"/>
        <w:jc w:val="both"/>
        <w:rPr>
          <w:rFonts w:asciiTheme="minorHAnsi" w:hAnsiTheme="minorHAnsi" w:cstheme="minorHAnsi"/>
          <w:sz w:val="22"/>
          <w:szCs w:val="22"/>
          <w:shd w:val="clear" w:color="auto" w:fill="FFFFFF"/>
        </w:rPr>
      </w:pPr>
      <w:r w:rsidRPr="00EA3E2E">
        <w:rPr>
          <w:rFonts w:asciiTheme="minorHAnsi" w:hAnsiTheme="minorHAnsi" w:cstheme="minorHAnsi"/>
          <w:sz w:val="22"/>
          <w:szCs w:val="22"/>
          <w:shd w:val="clear" w:color="auto" w:fill="FFFFFF"/>
        </w:rPr>
        <w:t xml:space="preserve">Brinson D. </w:t>
      </w:r>
      <w:r w:rsidR="007F27ED" w:rsidRPr="00EA3E2E">
        <w:rPr>
          <w:rFonts w:asciiTheme="minorHAnsi" w:hAnsiTheme="minorHAnsi" w:cstheme="minorHAnsi"/>
          <w:sz w:val="22"/>
          <w:szCs w:val="22"/>
          <w:shd w:val="clear" w:color="auto" w:fill="FFFFFF"/>
        </w:rPr>
        <w:t>(</w:t>
      </w:r>
      <w:r w:rsidRPr="00EA3E2E">
        <w:rPr>
          <w:rFonts w:asciiTheme="minorHAnsi" w:hAnsiTheme="minorHAnsi" w:cstheme="minorHAnsi"/>
          <w:sz w:val="22"/>
          <w:szCs w:val="22"/>
          <w:shd w:val="clear" w:color="auto" w:fill="FFFFFF"/>
        </w:rPr>
        <w:t>2009</w:t>
      </w:r>
      <w:r w:rsidR="007F27ED" w:rsidRPr="00EA3E2E">
        <w:rPr>
          <w:rFonts w:asciiTheme="minorHAnsi" w:hAnsiTheme="minorHAnsi" w:cstheme="minorHAnsi"/>
          <w:sz w:val="22"/>
          <w:szCs w:val="22"/>
          <w:shd w:val="clear" w:color="auto" w:fill="FFFFFF"/>
        </w:rPr>
        <w:t>)</w:t>
      </w:r>
      <w:r w:rsidRPr="00EA3E2E">
        <w:rPr>
          <w:rFonts w:asciiTheme="minorHAnsi" w:hAnsiTheme="minorHAnsi" w:cstheme="minorHAnsi"/>
          <w:sz w:val="22"/>
          <w:szCs w:val="22"/>
          <w:shd w:val="clear" w:color="auto" w:fill="FFFFFF"/>
        </w:rPr>
        <w:t xml:space="preserve">. </w:t>
      </w:r>
      <w:r w:rsidRPr="00EA3E2E">
        <w:rPr>
          <w:rFonts w:asciiTheme="minorHAnsi" w:hAnsiTheme="minorHAnsi" w:cstheme="minorHAnsi"/>
          <w:i/>
          <w:sz w:val="22"/>
          <w:szCs w:val="22"/>
          <w:shd w:val="clear" w:color="auto" w:fill="FFFFFF"/>
        </w:rPr>
        <w:t>How to increase the delivery of effective smoking cessation treatments in Primary Care Settings: Guidance for doctors, nurses, other health professionals and healthcare organisations: Summary Report</w:t>
      </w:r>
      <w:r w:rsidR="007F27ED" w:rsidRPr="00EA3E2E">
        <w:rPr>
          <w:rFonts w:asciiTheme="minorHAnsi" w:hAnsiTheme="minorHAnsi" w:cstheme="minorHAnsi"/>
          <w:sz w:val="22"/>
          <w:szCs w:val="22"/>
          <w:shd w:val="clear" w:color="auto" w:fill="FFFFFF"/>
        </w:rPr>
        <w:t>.</w:t>
      </w:r>
      <w:r w:rsidRPr="00EA3E2E">
        <w:rPr>
          <w:rFonts w:asciiTheme="minorHAnsi" w:hAnsiTheme="minorHAnsi" w:cstheme="minorHAnsi"/>
          <w:sz w:val="22"/>
          <w:szCs w:val="22"/>
          <w:shd w:val="clear" w:color="auto" w:fill="FFFFFF"/>
        </w:rPr>
        <w:t xml:space="preserve"> Wellington:</w:t>
      </w:r>
      <w:r w:rsidR="007D1DA7">
        <w:rPr>
          <w:rFonts w:asciiTheme="minorHAnsi" w:hAnsiTheme="minorHAnsi" w:cstheme="minorHAnsi"/>
          <w:sz w:val="22"/>
          <w:szCs w:val="22"/>
          <w:shd w:val="clear" w:color="auto" w:fill="FFFFFF"/>
        </w:rPr>
        <w:t xml:space="preserve"> </w:t>
      </w:r>
      <w:r w:rsidRPr="00EA3E2E">
        <w:rPr>
          <w:rFonts w:asciiTheme="minorHAnsi" w:hAnsiTheme="minorHAnsi" w:cstheme="minorHAnsi"/>
          <w:sz w:val="22"/>
          <w:szCs w:val="22"/>
          <w:shd w:val="clear" w:color="auto" w:fill="FFFFFF"/>
        </w:rPr>
        <w:t>Ministry of Health and HSAC, University of Canterbury</w:t>
      </w:r>
      <w:r w:rsidR="007F27ED" w:rsidRPr="00EA3E2E">
        <w:rPr>
          <w:rFonts w:asciiTheme="minorHAnsi" w:hAnsiTheme="minorHAnsi" w:cstheme="minorHAnsi"/>
          <w:sz w:val="22"/>
          <w:szCs w:val="22"/>
          <w:shd w:val="clear" w:color="auto" w:fill="FFFFFF"/>
        </w:rPr>
        <w:t>.</w:t>
      </w:r>
    </w:p>
    <w:p w:rsidR="00112156" w:rsidRPr="00C37D18" w:rsidRDefault="00112156" w:rsidP="00112156">
      <w:pPr>
        <w:spacing w:before="120" w:after="120"/>
        <w:rPr>
          <w:rFonts w:cs="Tiempos Text Regular"/>
          <w:color w:val="000000"/>
          <w:sz w:val="22"/>
          <w:szCs w:val="22"/>
        </w:rPr>
      </w:pPr>
      <w:r w:rsidRPr="00C37D18">
        <w:rPr>
          <w:rFonts w:cs="Tiempos Text Regular"/>
          <w:color w:val="000000"/>
          <w:sz w:val="22"/>
          <w:szCs w:val="22"/>
        </w:rPr>
        <w:t xml:space="preserve">CDC. Oral Health and Diabetes: What dental professionals want team members to know about oral health and diabetes. In Working together to Manage Diabetes. A Guide for Pharmacy, Optometry, Podiatry, and Dentistry. Available online at: </w:t>
      </w:r>
      <w:hyperlink r:id="rId23" w:history="1">
        <w:r w:rsidRPr="00C37D18">
          <w:rPr>
            <w:rStyle w:val="Hyperlink"/>
            <w:rFonts w:cs="Tiempos Text Regular"/>
            <w:sz w:val="22"/>
            <w:szCs w:val="22"/>
          </w:rPr>
          <w:t>http://www.cdc.gov/diabetes/ndep/ppod.htm</w:t>
        </w:r>
      </w:hyperlink>
    </w:p>
    <w:p w:rsidR="0087603E" w:rsidRDefault="0087603E" w:rsidP="0087603E">
      <w:pPr>
        <w:pStyle w:val="ecxmsonormal"/>
        <w:shd w:val="clear" w:color="auto" w:fill="FFFFFF"/>
        <w:spacing w:after="0"/>
        <w:jc w:val="both"/>
        <w:rPr>
          <w:rFonts w:asciiTheme="minorHAnsi" w:hAnsiTheme="minorHAnsi" w:cstheme="minorHAnsi"/>
          <w:sz w:val="22"/>
          <w:szCs w:val="22"/>
        </w:rPr>
      </w:pPr>
      <w:r w:rsidRPr="00EA3E2E">
        <w:rPr>
          <w:rFonts w:asciiTheme="minorHAnsi" w:hAnsiTheme="minorHAnsi" w:cstheme="minorHAnsi"/>
          <w:sz w:val="22"/>
          <w:szCs w:val="22"/>
        </w:rPr>
        <w:t xml:space="preserve">Crengle S., Pink R., Pitama, S. (2007). Respiratory Disease. In Robson B, Harris R. (Eds.), </w:t>
      </w:r>
      <w:r w:rsidRPr="00EA3E2E">
        <w:rPr>
          <w:rFonts w:asciiTheme="minorHAnsi" w:hAnsiTheme="minorHAnsi" w:cstheme="minorHAnsi"/>
          <w:i/>
          <w:sz w:val="22"/>
          <w:szCs w:val="22"/>
        </w:rPr>
        <w:t xml:space="preserve">Hauora: Māori standards of Health IV. A study of the years 2000-2005 </w:t>
      </w:r>
      <w:r w:rsidRPr="00EA3E2E">
        <w:rPr>
          <w:rFonts w:asciiTheme="minorHAnsi" w:hAnsiTheme="minorHAnsi" w:cstheme="minorHAnsi"/>
          <w:sz w:val="22"/>
          <w:szCs w:val="22"/>
        </w:rPr>
        <w:t>[pp. 169-179].</w:t>
      </w:r>
      <w:r w:rsidRPr="00EA3E2E">
        <w:rPr>
          <w:rFonts w:asciiTheme="minorHAnsi" w:hAnsiTheme="minorHAnsi" w:cstheme="minorHAnsi"/>
          <w:i/>
          <w:sz w:val="22"/>
          <w:szCs w:val="22"/>
        </w:rPr>
        <w:t xml:space="preserve"> </w:t>
      </w:r>
      <w:r w:rsidRPr="00EA3E2E">
        <w:rPr>
          <w:rFonts w:asciiTheme="minorHAnsi" w:hAnsiTheme="minorHAnsi" w:cstheme="minorHAnsi"/>
          <w:sz w:val="22"/>
          <w:szCs w:val="22"/>
        </w:rPr>
        <w:t>Wellington: Te Roopu Rangahau Hauora a Eru Pomare</w:t>
      </w:r>
      <w:r w:rsidR="00877141">
        <w:rPr>
          <w:rFonts w:asciiTheme="minorHAnsi" w:hAnsiTheme="minorHAnsi" w:cstheme="minorHAnsi"/>
          <w:sz w:val="22"/>
          <w:szCs w:val="22"/>
        </w:rPr>
        <w:t>.</w:t>
      </w:r>
    </w:p>
    <w:p w:rsidR="00877141" w:rsidRDefault="00877141" w:rsidP="0087603E">
      <w:pPr>
        <w:pStyle w:val="ecxmsonormal"/>
        <w:shd w:val="clear" w:color="auto" w:fill="FFFFFF"/>
        <w:spacing w:after="0"/>
        <w:jc w:val="both"/>
        <w:rPr>
          <w:rFonts w:asciiTheme="minorHAnsi" w:hAnsiTheme="minorHAnsi" w:cstheme="minorHAnsi"/>
          <w:sz w:val="22"/>
          <w:szCs w:val="22"/>
        </w:rPr>
      </w:pPr>
    </w:p>
    <w:p w:rsidR="00F8742A" w:rsidRDefault="00F8742A" w:rsidP="0087603E">
      <w:pPr>
        <w:pStyle w:val="ecxmsonormal"/>
        <w:shd w:val="clear" w:color="auto" w:fill="FFFFFF"/>
        <w:spacing w:after="0"/>
        <w:jc w:val="both"/>
      </w:pPr>
      <w:r w:rsidRPr="00C37D18">
        <w:t>Ding C, Foster Page LA, Rangnekar S.  Interprofessional Education, Dentistry and the New Zealand Experience: a commentary. NZ Dent J 111 (3): 109-112.Hummel J, and Gandara BK. (2011). Health Information Exchange and Care Coordination of Diabetic Patients between Medicine and Dentistry. Diabetes Spectrum. 24(4): 210</w:t>
      </w:r>
    </w:p>
    <w:p w:rsidR="00F8742A" w:rsidRDefault="00F8742A" w:rsidP="0087603E">
      <w:pPr>
        <w:pStyle w:val="ecxmsonormal"/>
        <w:shd w:val="clear" w:color="auto" w:fill="FFFFFF"/>
        <w:spacing w:after="0"/>
        <w:jc w:val="both"/>
        <w:rPr>
          <w:rFonts w:asciiTheme="minorHAnsi" w:hAnsiTheme="minorHAnsi" w:cstheme="minorHAnsi"/>
          <w:sz w:val="22"/>
          <w:szCs w:val="22"/>
        </w:rPr>
      </w:pPr>
    </w:p>
    <w:p w:rsidR="00877141" w:rsidRPr="00877141" w:rsidRDefault="00877141" w:rsidP="0087603E">
      <w:pPr>
        <w:pStyle w:val="ecxmsonormal"/>
        <w:shd w:val="clear" w:color="auto" w:fill="FFFFFF"/>
        <w:spacing w:after="0"/>
        <w:jc w:val="both"/>
        <w:rPr>
          <w:rFonts w:ascii="inherit" w:hAnsi="inherit" w:cs="Arial"/>
          <w:color w:val="666666"/>
          <w:sz w:val="21"/>
          <w:szCs w:val="21"/>
        </w:rPr>
      </w:pPr>
      <w:r>
        <w:rPr>
          <w:rFonts w:asciiTheme="minorHAnsi" w:hAnsiTheme="minorHAnsi" w:cstheme="minorHAnsi"/>
          <w:sz w:val="22"/>
          <w:szCs w:val="22"/>
        </w:rPr>
        <w:t xml:space="preserve">Gandini S., Botteri E., Iodice S, et al. (2008). Tobacco smoking and cancer: a meta-analysis. </w:t>
      </w:r>
      <w:r w:rsidRPr="00B30B57">
        <w:rPr>
          <w:rFonts w:asciiTheme="minorHAnsi" w:hAnsiTheme="minorHAnsi" w:cstheme="minorHAnsi"/>
          <w:i/>
          <w:sz w:val="22"/>
          <w:szCs w:val="22"/>
        </w:rPr>
        <w:t>Int J Cancer</w:t>
      </w:r>
      <w:r>
        <w:rPr>
          <w:rFonts w:asciiTheme="minorHAnsi" w:hAnsiTheme="minorHAnsi" w:cstheme="minorHAnsi"/>
          <w:sz w:val="22"/>
          <w:szCs w:val="22"/>
        </w:rPr>
        <w:t xml:space="preserve">. 122(1):155-64. </w:t>
      </w:r>
    </w:p>
    <w:p w:rsidR="0087603E" w:rsidRPr="00EA3E2E" w:rsidRDefault="0087603E" w:rsidP="0087603E">
      <w:pPr>
        <w:autoSpaceDE w:val="0"/>
        <w:autoSpaceDN w:val="0"/>
        <w:adjustRightInd w:val="0"/>
        <w:jc w:val="both"/>
        <w:rPr>
          <w:rFonts w:asciiTheme="minorHAnsi" w:eastAsia="Calibri" w:hAnsiTheme="minorHAnsi" w:cstheme="minorHAnsi"/>
          <w:color w:val="000000"/>
          <w:sz w:val="21"/>
          <w:szCs w:val="21"/>
          <w:lang w:eastAsia="en-NZ"/>
        </w:rPr>
      </w:pPr>
    </w:p>
    <w:p w:rsidR="006A3F99" w:rsidRPr="00EA3E2E" w:rsidRDefault="006A3F99" w:rsidP="006A3F99">
      <w:pPr>
        <w:pStyle w:val="ecxmsonormal"/>
        <w:shd w:val="clear" w:color="auto" w:fill="FFFFFF"/>
        <w:spacing w:after="0"/>
        <w:jc w:val="both"/>
        <w:rPr>
          <w:rFonts w:asciiTheme="minorHAnsi" w:hAnsiTheme="minorHAnsi" w:cstheme="minorHAnsi"/>
          <w:sz w:val="22"/>
          <w:szCs w:val="22"/>
          <w:lang w:val="en-US"/>
        </w:rPr>
      </w:pPr>
      <w:r w:rsidRPr="00EA3E2E">
        <w:rPr>
          <w:rFonts w:asciiTheme="minorHAnsi" w:hAnsiTheme="minorHAnsi" w:cstheme="minorHAnsi"/>
          <w:sz w:val="22"/>
          <w:szCs w:val="22"/>
          <w:lang w:val="en-US"/>
        </w:rPr>
        <w:t>Hendricson WD</w:t>
      </w:r>
      <w:r w:rsidR="00F5748B" w:rsidRPr="00EA3E2E">
        <w:rPr>
          <w:rFonts w:asciiTheme="minorHAnsi" w:hAnsiTheme="minorHAnsi" w:cstheme="minorHAnsi"/>
          <w:sz w:val="22"/>
          <w:szCs w:val="22"/>
          <w:lang w:val="en-US"/>
        </w:rPr>
        <w:t>.</w:t>
      </w:r>
      <w:r w:rsidRPr="00EA3E2E">
        <w:rPr>
          <w:rFonts w:asciiTheme="minorHAnsi" w:hAnsiTheme="minorHAnsi" w:cstheme="minorHAnsi"/>
          <w:sz w:val="22"/>
          <w:szCs w:val="22"/>
          <w:lang w:val="en-US"/>
        </w:rPr>
        <w:t>, Cohen PA. (2001). Oral Health Care in the 21</w:t>
      </w:r>
      <w:r w:rsidRPr="00EA3E2E">
        <w:rPr>
          <w:rFonts w:asciiTheme="minorHAnsi" w:hAnsiTheme="minorHAnsi" w:cstheme="minorHAnsi"/>
          <w:sz w:val="22"/>
          <w:szCs w:val="22"/>
          <w:vertAlign w:val="superscript"/>
          <w:lang w:val="en-US"/>
        </w:rPr>
        <w:t>st</w:t>
      </w:r>
      <w:r w:rsidRPr="00EA3E2E">
        <w:rPr>
          <w:rFonts w:asciiTheme="minorHAnsi" w:hAnsiTheme="minorHAnsi" w:cstheme="minorHAnsi"/>
          <w:sz w:val="22"/>
          <w:szCs w:val="22"/>
          <w:lang w:val="en-US"/>
        </w:rPr>
        <w:t xml:space="preserve"> Century: Implications for Dental and Medical Education. </w:t>
      </w:r>
      <w:r w:rsidRPr="00EA3E2E">
        <w:rPr>
          <w:rFonts w:asciiTheme="minorHAnsi" w:hAnsiTheme="minorHAnsi" w:cstheme="minorHAnsi"/>
          <w:i/>
          <w:sz w:val="22"/>
          <w:szCs w:val="22"/>
          <w:lang w:val="en-US"/>
        </w:rPr>
        <w:t>Academic Medicine</w:t>
      </w:r>
      <w:r w:rsidR="00EF3F60" w:rsidRPr="00EA3E2E">
        <w:rPr>
          <w:rFonts w:asciiTheme="minorHAnsi" w:hAnsiTheme="minorHAnsi" w:cstheme="minorHAnsi"/>
          <w:sz w:val="22"/>
          <w:szCs w:val="22"/>
          <w:lang w:val="en-US"/>
        </w:rPr>
        <w:t>. 71(12):</w:t>
      </w:r>
      <w:r w:rsidRPr="00EA3E2E">
        <w:rPr>
          <w:rFonts w:asciiTheme="minorHAnsi" w:hAnsiTheme="minorHAnsi" w:cstheme="minorHAnsi"/>
          <w:sz w:val="22"/>
          <w:szCs w:val="22"/>
          <w:lang w:val="en-US"/>
        </w:rPr>
        <w:t>1181-1206.</w:t>
      </w:r>
    </w:p>
    <w:p w:rsidR="002A73FA" w:rsidRPr="00EA3E2E" w:rsidRDefault="002D45D4" w:rsidP="002802D9">
      <w:pPr>
        <w:pStyle w:val="ecxmsonormal"/>
        <w:shd w:val="clear" w:color="auto" w:fill="FFFFFF"/>
        <w:spacing w:before="100" w:beforeAutospacing="1" w:after="100" w:afterAutospacing="1"/>
        <w:jc w:val="both"/>
        <w:rPr>
          <w:rFonts w:asciiTheme="minorHAnsi" w:hAnsiTheme="minorHAnsi" w:cstheme="minorHAnsi"/>
          <w:sz w:val="22"/>
          <w:szCs w:val="22"/>
        </w:rPr>
      </w:pPr>
      <w:r w:rsidRPr="00EA3E2E">
        <w:rPr>
          <w:rFonts w:asciiTheme="minorHAnsi" w:hAnsiTheme="minorHAnsi" w:cstheme="minorHAnsi"/>
          <w:sz w:val="22"/>
          <w:szCs w:val="22"/>
        </w:rPr>
        <w:t xml:space="preserve">Jaine R, Baker M, Venugopal K. </w:t>
      </w:r>
      <w:r w:rsidR="00975745" w:rsidRPr="00EA3E2E">
        <w:rPr>
          <w:rFonts w:asciiTheme="minorHAnsi" w:hAnsiTheme="minorHAnsi" w:cstheme="minorHAnsi"/>
          <w:sz w:val="22"/>
          <w:szCs w:val="22"/>
        </w:rPr>
        <w:t xml:space="preserve">(2008). </w:t>
      </w:r>
      <w:r w:rsidRPr="00EA3E2E">
        <w:rPr>
          <w:rFonts w:asciiTheme="minorHAnsi" w:hAnsiTheme="minorHAnsi" w:cstheme="minorHAnsi"/>
          <w:sz w:val="22"/>
          <w:szCs w:val="22"/>
        </w:rPr>
        <w:t xml:space="preserve">Epidemiology of acute rheumatic fever in New Zealand 1996–2005. </w:t>
      </w:r>
      <w:r w:rsidRPr="00EA3E2E">
        <w:rPr>
          <w:rFonts w:asciiTheme="minorHAnsi" w:hAnsiTheme="minorHAnsi" w:cstheme="minorHAnsi"/>
          <w:i/>
          <w:sz w:val="22"/>
          <w:szCs w:val="22"/>
        </w:rPr>
        <w:t>Journal of paediatrics and child health</w:t>
      </w:r>
      <w:r w:rsidR="004D6C5C" w:rsidRPr="00EA3E2E">
        <w:rPr>
          <w:rFonts w:asciiTheme="minorHAnsi" w:hAnsiTheme="minorHAnsi" w:cstheme="minorHAnsi"/>
          <w:sz w:val="22"/>
          <w:szCs w:val="22"/>
        </w:rPr>
        <w:t xml:space="preserve">. </w:t>
      </w:r>
      <w:r w:rsidRPr="00EA3E2E">
        <w:rPr>
          <w:rFonts w:asciiTheme="minorHAnsi" w:hAnsiTheme="minorHAnsi" w:cstheme="minorHAnsi"/>
          <w:sz w:val="22"/>
          <w:szCs w:val="22"/>
        </w:rPr>
        <w:t>44(10):564–71.</w:t>
      </w:r>
    </w:p>
    <w:p w:rsidR="00C87527" w:rsidRPr="00EA3E2E" w:rsidRDefault="00C87527" w:rsidP="002802D9">
      <w:pPr>
        <w:pStyle w:val="ecxmsonormal"/>
        <w:shd w:val="clear" w:color="auto" w:fill="FFFFFF"/>
        <w:spacing w:after="0"/>
        <w:jc w:val="both"/>
        <w:rPr>
          <w:rFonts w:asciiTheme="minorHAnsi" w:hAnsiTheme="minorHAnsi" w:cstheme="minorHAnsi"/>
          <w:sz w:val="22"/>
          <w:szCs w:val="22"/>
          <w:lang w:val="en-US"/>
        </w:rPr>
      </w:pPr>
      <w:r w:rsidRPr="00EA3E2E">
        <w:rPr>
          <w:rFonts w:asciiTheme="minorHAnsi" w:hAnsiTheme="minorHAnsi" w:cstheme="minorHAnsi"/>
          <w:sz w:val="22"/>
          <w:szCs w:val="22"/>
          <w:lang w:val="en-US"/>
        </w:rPr>
        <w:t xml:space="preserve">Jatrana S, Crampton P, Filoche S. (2009). The case for integrating oral health into primary health care. </w:t>
      </w:r>
      <w:r w:rsidRPr="00EA3E2E">
        <w:rPr>
          <w:rFonts w:asciiTheme="minorHAnsi" w:hAnsiTheme="minorHAnsi" w:cstheme="minorHAnsi"/>
          <w:i/>
          <w:sz w:val="22"/>
          <w:szCs w:val="22"/>
          <w:lang w:val="en-US"/>
        </w:rPr>
        <w:t xml:space="preserve">The New Zealand Medical Journal. </w:t>
      </w:r>
      <w:r w:rsidR="00EF3F60" w:rsidRPr="00EA3E2E">
        <w:rPr>
          <w:rFonts w:asciiTheme="minorHAnsi" w:hAnsiTheme="minorHAnsi" w:cstheme="minorHAnsi"/>
          <w:sz w:val="22"/>
          <w:szCs w:val="22"/>
          <w:lang w:val="en-US"/>
        </w:rPr>
        <w:t>122(1301):</w:t>
      </w:r>
      <w:r w:rsidRPr="00EA3E2E">
        <w:rPr>
          <w:rFonts w:asciiTheme="minorHAnsi" w:hAnsiTheme="minorHAnsi" w:cstheme="minorHAnsi"/>
          <w:sz w:val="22"/>
          <w:szCs w:val="22"/>
          <w:lang w:val="en-US"/>
        </w:rPr>
        <w:t>43-52.</w:t>
      </w:r>
    </w:p>
    <w:p w:rsidR="006A3F99" w:rsidRPr="00EA3E2E" w:rsidRDefault="006A3F99" w:rsidP="006A3F99">
      <w:pPr>
        <w:pStyle w:val="ecxmsofootnotetext"/>
        <w:shd w:val="clear" w:color="auto" w:fill="FFFFFF"/>
        <w:spacing w:after="0"/>
        <w:jc w:val="both"/>
        <w:rPr>
          <w:rFonts w:asciiTheme="minorHAnsi" w:hAnsiTheme="minorHAnsi" w:cstheme="minorHAnsi"/>
          <w:sz w:val="22"/>
          <w:szCs w:val="22"/>
          <w:lang w:val="en-US"/>
        </w:rPr>
      </w:pPr>
    </w:p>
    <w:p w:rsidR="00FF6EA4" w:rsidRDefault="006A3F99" w:rsidP="006A3F99">
      <w:pPr>
        <w:pStyle w:val="ecxmsofootnotetext"/>
        <w:shd w:val="clear" w:color="auto" w:fill="FFFFFF"/>
        <w:spacing w:after="0"/>
        <w:jc w:val="both"/>
        <w:rPr>
          <w:rFonts w:asciiTheme="minorHAnsi" w:hAnsiTheme="minorHAnsi" w:cstheme="minorHAnsi"/>
          <w:sz w:val="22"/>
          <w:szCs w:val="22"/>
          <w:lang w:val="en-US"/>
        </w:rPr>
      </w:pPr>
      <w:r w:rsidRPr="00EA3E2E">
        <w:rPr>
          <w:rFonts w:asciiTheme="minorHAnsi" w:hAnsiTheme="minorHAnsi" w:cstheme="minorHAnsi"/>
          <w:sz w:val="22"/>
          <w:szCs w:val="22"/>
          <w:lang w:val="en-US"/>
        </w:rPr>
        <w:t>Lamster IB, and Eaves K. (2011). A Model for Dental Practice in the 21</w:t>
      </w:r>
      <w:r w:rsidRPr="00EA3E2E">
        <w:rPr>
          <w:rFonts w:asciiTheme="minorHAnsi" w:hAnsiTheme="minorHAnsi" w:cstheme="minorHAnsi"/>
          <w:sz w:val="22"/>
          <w:szCs w:val="22"/>
          <w:vertAlign w:val="superscript"/>
          <w:lang w:val="en-US"/>
        </w:rPr>
        <w:t>st</w:t>
      </w:r>
      <w:r w:rsidRPr="00EA3E2E">
        <w:rPr>
          <w:rFonts w:asciiTheme="minorHAnsi" w:hAnsiTheme="minorHAnsi" w:cstheme="minorHAnsi"/>
          <w:sz w:val="22"/>
          <w:szCs w:val="22"/>
          <w:lang w:val="en-US"/>
        </w:rPr>
        <w:t xml:space="preserve"> Century. </w:t>
      </w:r>
      <w:r w:rsidRPr="00EA3E2E">
        <w:rPr>
          <w:rFonts w:asciiTheme="minorHAnsi" w:hAnsiTheme="minorHAnsi" w:cstheme="minorHAnsi"/>
          <w:i/>
          <w:sz w:val="22"/>
          <w:szCs w:val="22"/>
          <w:lang w:val="en-US"/>
        </w:rPr>
        <w:t xml:space="preserve">American Journal of Public Health. </w:t>
      </w:r>
      <w:r w:rsidR="00EF3F60" w:rsidRPr="00EA3E2E">
        <w:rPr>
          <w:rFonts w:asciiTheme="minorHAnsi" w:hAnsiTheme="minorHAnsi" w:cstheme="minorHAnsi"/>
          <w:sz w:val="22"/>
          <w:szCs w:val="22"/>
          <w:lang w:val="en-US"/>
        </w:rPr>
        <w:t>101(10):</w:t>
      </w:r>
      <w:r w:rsidRPr="00EA3E2E">
        <w:rPr>
          <w:rFonts w:asciiTheme="minorHAnsi" w:hAnsiTheme="minorHAnsi" w:cstheme="minorHAnsi"/>
          <w:sz w:val="22"/>
          <w:szCs w:val="22"/>
          <w:lang w:val="en-US"/>
        </w:rPr>
        <w:t>1825-1830.</w:t>
      </w:r>
    </w:p>
    <w:p w:rsidR="00FF6EA4" w:rsidRDefault="00FF6EA4" w:rsidP="006A3F99">
      <w:pPr>
        <w:pStyle w:val="ecxmsofootnotetext"/>
        <w:shd w:val="clear" w:color="auto" w:fill="FFFFFF"/>
        <w:spacing w:after="0"/>
        <w:jc w:val="both"/>
        <w:rPr>
          <w:rFonts w:asciiTheme="minorHAnsi" w:hAnsiTheme="minorHAnsi" w:cstheme="minorHAnsi"/>
          <w:sz w:val="22"/>
          <w:szCs w:val="22"/>
          <w:lang w:val="en-US"/>
        </w:rPr>
      </w:pPr>
    </w:p>
    <w:p w:rsidR="00FF6EA4" w:rsidRPr="00EA3E2E" w:rsidRDefault="00FF6EA4" w:rsidP="006A3F99">
      <w:pPr>
        <w:pStyle w:val="ecxmsofootnotetext"/>
        <w:shd w:val="clear" w:color="auto" w:fill="FFFFFF"/>
        <w:spacing w:after="0"/>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La Vecchia C., Tavani A., Franceshi S et al. (1997). Epidemiology and prevention of oral cancer. </w:t>
      </w:r>
      <w:r w:rsidRPr="00FF6EA4">
        <w:rPr>
          <w:rFonts w:asciiTheme="minorHAnsi" w:hAnsiTheme="minorHAnsi" w:cstheme="minorHAnsi"/>
          <w:i/>
          <w:sz w:val="22"/>
          <w:szCs w:val="22"/>
          <w:lang w:val="en-US"/>
        </w:rPr>
        <w:t>Oral Oncol</w:t>
      </w:r>
      <w:r>
        <w:rPr>
          <w:rFonts w:asciiTheme="minorHAnsi" w:hAnsiTheme="minorHAnsi" w:cstheme="minorHAnsi"/>
          <w:sz w:val="22"/>
          <w:szCs w:val="22"/>
          <w:lang w:val="en-US"/>
        </w:rPr>
        <w:t>. 33(5):302-12.</w:t>
      </w:r>
      <w:r w:rsidR="006A3F99" w:rsidRPr="00EA3E2E">
        <w:rPr>
          <w:rFonts w:asciiTheme="minorHAnsi" w:hAnsiTheme="minorHAnsi" w:cstheme="minorHAnsi"/>
          <w:sz w:val="22"/>
          <w:szCs w:val="22"/>
          <w:lang w:val="en-US"/>
        </w:rPr>
        <w:t xml:space="preserve"> </w:t>
      </w:r>
    </w:p>
    <w:p w:rsidR="00975745" w:rsidRPr="00EA3E2E" w:rsidRDefault="002D45D4" w:rsidP="00CF26CB">
      <w:pPr>
        <w:pStyle w:val="ecxmsonormal"/>
        <w:shd w:val="clear" w:color="auto" w:fill="FFFFFF"/>
        <w:spacing w:before="100" w:beforeAutospacing="1" w:after="100" w:afterAutospacing="1"/>
        <w:jc w:val="both"/>
        <w:rPr>
          <w:rFonts w:asciiTheme="minorHAnsi" w:eastAsia="Arial Unicode MS" w:hAnsiTheme="minorHAnsi" w:cstheme="minorHAnsi"/>
          <w:sz w:val="22"/>
          <w:szCs w:val="22"/>
          <w:lang w:val="en-US"/>
        </w:rPr>
      </w:pPr>
      <w:r w:rsidRPr="00EA3E2E">
        <w:rPr>
          <w:rFonts w:asciiTheme="minorHAnsi" w:eastAsia="Arial Unicode MS" w:hAnsiTheme="minorHAnsi" w:cstheme="minorHAnsi"/>
          <w:sz w:val="22"/>
          <w:szCs w:val="22"/>
          <w:lang w:val="en-US"/>
        </w:rPr>
        <w:lastRenderedPageBreak/>
        <w:t xml:space="preserve">Marijon E, Mirabel M, Celermajer DS, Jouven, X. (2012). Rheumatic Heart Disease. </w:t>
      </w:r>
      <w:r w:rsidRPr="00EA3E2E">
        <w:rPr>
          <w:rFonts w:asciiTheme="minorHAnsi" w:eastAsia="Arial Unicode MS" w:hAnsiTheme="minorHAnsi" w:cstheme="minorHAnsi"/>
          <w:i/>
          <w:sz w:val="22"/>
          <w:szCs w:val="22"/>
          <w:lang w:val="en-US"/>
        </w:rPr>
        <w:t>The Lancet</w:t>
      </w:r>
      <w:r w:rsidR="00EF3F60" w:rsidRPr="00EA3E2E">
        <w:rPr>
          <w:rFonts w:asciiTheme="minorHAnsi" w:eastAsia="Arial Unicode MS" w:hAnsiTheme="minorHAnsi" w:cstheme="minorHAnsi"/>
          <w:sz w:val="22"/>
          <w:szCs w:val="22"/>
          <w:lang w:val="en-US"/>
        </w:rPr>
        <w:t>. 379</w:t>
      </w:r>
      <w:r w:rsidR="004D6C5C" w:rsidRPr="00EA3E2E">
        <w:rPr>
          <w:rFonts w:asciiTheme="minorHAnsi" w:eastAsia="Arial Unicode MS" w:hAnsiTheme="minorHAnsi" w:cstheme="minorHAnsi"/>
          <w:sz w:val="22"/>
          <w:szCs w:val="22"/>
          <w:lang w:val="en-US"/>
        </w:rPr>
        <w:t>(9819)</w:t>
      </w:r>
      <w:r w:rsidR="00EF3F60" w:rsidRPr="00EA3E2E">
        <w:rPr>
          <w:rFonts w:asciiTheme="minorHAnsi" w:eastAsia="Arial Unicode MS" w:hAnsiTheme="minorHAnsi" w:cstheme="minorHAnsi"/>
          <w:sz w:val="22"/>
          <w:szCs w:val="22"/>
          <w:lang w:val="en-US"/>
        </w:rPr>
        <w:t>:</w:t>
      </w:r>
      <w:r w:rsidR="00975745" w:rsidRPr="00EA3E2E">
        <w:rPr>
          <w:rFonts w:asciiTheme="minorHAnsi" w:eastAsia="Arial Unicode MS" w:hAnsiTheme="minorHAnsi" w:cstheme="minorHAnsi"/>
          <w:sz w:val="22"/>
          <w:szCs w:val="22"/>
          <w:lang w:val="en-US"/>
        </w:rPr>
        <w:t>953-964.</w:t>
      </w:r>
    </w:p>
    <w:p w:rsidR="006A5DAA" w:rsidRPr="00EA3E2E" w:rsidRDefault="005C6335" w:rsidP="006A5DAA">
      <w:pPr>
        <w:jc w:val="both"/>
        <w:rPr>
          <w:rFonts w:asciiTheme="minorHAnsi" w:eastAsia="Arial Unicode MS" w:hAnsiTheme="minorHAnsi" w:cstheme="minorHAnsi"/>
          <w:sz w:val="22"/>
          <w:szCs w:val="22"/>
        </w:rPr>
      </w:pPr>
      <w:r w:rsidRPr="00EA3E2E">
        <w:rPr>
          <w:rFonts w:asciiTheme="minorHAnsi" w:eastAsia="Arial Unicode MS" w:hAnsiTheme="minorHAnsi" w:cstheme="minorHAnsi"/>
          <w:sz w:val="22"/>
          <w:szCs w:val="22"/>
        </w:rPr>
        <w:t xml:space="preserve">Ministry of Health. </w:t>
      </w:r>
      <w:r w:rsidR="007F27ED" w:rsidRPr="00EA3E2E">
        <w:rPr>
          <w:rFonts w:asciiTheme="minorHAnsi" w:eastAsia="Arial Unicode MS" w:hAnsiTheme="minorHAnsi" w:cstheme="minorHAnsi"/>
          <w:sz w:val="22"/>
          <w:szCs w:val="22"/>
        </w:rPr>
        <w:t xml:space="preserve">(2002). </w:t>
      </w:r>
      <w:r w:rsidR="007F27ED" w:rsidRPr="00EA3E2E">
        <w:rPr>
          <w:rFonts w:asciiTheme="minorHAnsi" w:eastAsia="Arial Unicode MS" w:hAnsiTheme="minorHAnsi" w:cstheme="minorHAnsi"/>
          <w:i/>
          <w:sz w:val="22"/>
          <w:szCs w:val="22"/>
        </w:rPr>
        <w:t>Well Child National Schedule Handbook</w:t>
      </w:r>
      <w:r w:rsidR="007F27ED" w:rsidRPr="00EA3E2E">
        <w:rPr>
          <w:rFonts w:asciiTheme="minorHAnsi" w:eastAsia="Arial Unicode MS" w:hAnsiTheme="minorHAnsi" w:cstheme="minorHAnsi"/>
          <w:sz w:val="22"/>
          <w:szCs w:val="22"/>
        </w:rPr>
        <w:t>. Wellington: Ministry of Health.</w:t>
      </w:r>
      <w:r w:rsidR="006A5DAA" w:rsidRPr="00EA3E2E">
        <w:rPr>
          <w:rFonts w:asciiTheme="minorHAnsi" w:eastAsia="Arial Unicode MS" w:hAnsiTheme="minorHAnsi" w:cstheme="minorHAnsi"/>
          <w:sz w:val="22"/>
          <w:szCs w:val="22"/>
        </w:rPr>
        <w:t xml:space="preserve"> </w:t>
      </w:r>
    </w:p>
    <w:p w:rsidR="006A5DAA" w:rsidRPr="00EA3E2E" w:rsidRDefault="006A5DAA" w:rsidP="006A5DAA">
      <w:pPr>
        <w:jc w:val="both"/>
        <w:rPr>
          <w:rFonts w:asciiTheme="minorHAnsi" w:eastAsia="Arial Unicode MS" w:hAnsiTheme="minorHAnsi" w:cstheme="minorHAnsi"/>
          <w:sz w:val="22"/>
          <w:szCs w:val="22"/>
        </w:rPr>
      </w:pPr>
    </w:p>
    <w:p w:rsidR="006A5DAA" w:rsidRDefault="006A5DAA" w:rsidP="006A5DAA">
      <w:pPr>
        <w:jc w:val="both"/>
        <w:rPr>
          <w:rFonts w:asciiTheme="minorHAnsi" w:eastAsia="Arial Unicode MS" w:hAnsiTheme="minorHAnsi" w:cstheme="minorHAnsi"/>
          <w:sz w:val="22"/>
          <w:szCs w:val="22"/>
        </w:rPr>
      </w:pPr>
      <w:r w:rsidRPr="00EA3E2E">
        <w:rPr>
          <w:rFonts w:asciiTheme="minorHAnsi" w:eastAsia="Arial Unicode MS" w:hAnsiTheme="minorHAnsi" w:cstheme="minorHAnsi"/>
          <w:sz w:val="22"/>
          <w:szCs w:val="22"/>
        </w:rPr>
        <w:t>Ministry of Health. (2005). Tobacco Facts 2005. Wellington: Ministry of Health.</w:t>
      </w:r>
    </w:p>
    <w:p w:rsidR="00112156" w:rsidRDefault="00112156" w:rsidP="00112156">
      <w:pPr>
        <w:pStyle w:val="EndNoteBibliography"/>
      </w:pPr>
    </w:p>
    <w:p w:rsidR="00112156" w:rsidRPr="00C37D18" w:rsidRDefault="00112156" w:rsidP="00112156">
      <w:pPr>
        <w:pStyle w:val="EndNoteBibliography"/>
      </w:pPr>
      <w:r w:rsidRPr="00C37D18">
        <w:t xml:space="preserve">Ministry of Health. </w:t>
      </w:r>
      <w:r>
        <w:t>(</w:t>
      </w:r>
      <w:r w:rsidRPr="00C37D18">
        <w:t>2006</w:t>
      </w:r>
      <w:r>
        <w:t>)</w:t>
      </w:r>
      <w:r w:rsidRPr="00C37D18">
        <w:t xml:space="preserve">. </w:t>
      </w:r>
      <w:r w:rsidRPr="00C37D18">
        <w:rPr>
          <w:i/>
        </w:rPr>
        <w:t>Good Oral Health for All, for Life: The strategic vision for oral health in New Zealand.</w:t>
      </w:r>
      <w:r w:rsidRPr="00C37D18">
        <w:t xml:space="preserve"> Ministry of Health: Wellington.</w:t>
      </w:r>
    </w:p>
    <w:p w:rsidR="00DE0E1D" w:rsidRPr="00916DC5" w:rsidRDefault="00DE0E1D" w:rsidP="00DE0E1D">
      <w:pPr>
        <w:pStyle w:val="Heading2"/>
        <w:rPr>
          <w:rFonts w:eastAsia="Arial Unicode MS"/>
          <w:sz w:val="22"/>
          <w:szCs w:val="22"/>
          <w:lang w:val="en-NZ"/>
        </w:rPr>
      </w:pPr>
      <w:bookmarkStart w:id="33" w:name="_Toc473485935"/>
      <w:r w:rsidRPr="00916DC5">
        <w:rPr>
          <w:rFonts w:eastAsia="Arial Unicode MS"/>
          <w:b w:val="0"/>
          <w:bCs w:val="0"/>
          <w:color w:val="auto"/>
          <w:sz w:val="22"/>
          <w:szCs w:val="22"/>
          <w:lang w:val="en-NZ"/>
        </w:rPr>
        <w:t>Ministry of Health. (2006). Tobacco Trends 2006: Monitoring tobacco use in New Zealand. Wellington: Ministry of Health.</w:t>
      </w:r>
      <w:bookmarkEnd w:id="33"/>
      <w:r w:rsidRPr="00916DC5">
        <w:rPr>
          <w:rFonts w:eastAsia="Arial Unicode MS"/>
          <w:b w:val="0"/>
          <w:bCs w:val="0"/>
          <w:color w:val="auto"/>
          <w:sz w:val="22"/>
          <w:szCs w:val="22"/>
          <w:lang w:val="en-NZ"/>
        </w:rPr>
        <w:t xml:space="preserve"> </w:t>
      </w:r>
    </w:p>
    <w:p w:rsidR="005C6335" w:rsidRPr="00EA3E2E" w:rsidRDefault="005C6335" w:rsidP="005C6335">
      <w:pPr>
        <w:jc w:val="both"/>
        <w:rPr>
          <w:rFonts w:asciiTheme="minorHAnsi" w:hAnsiTheme="minorHAnsi" w:cstheme="minorHAnsi"/>
          <w:sz w:val="22"/>
          <w:szCs w:val="22"/>
        </w:rPr>
      </w:pPr>
      <w:r w:rsidRPr="00EA3E2E">
        <w:rPr>
          <w:rFonts w:asciiTheme="minorHAnsi" w:hAnsiTheme="minorHAnsi" w:cstheme="minorHAnsi"/>
          <w:sz w:val="22"/>
          <w:szCs w:val="22"/>
        </w:rPr>
        <w:t xml:space="preserve">Ministry of Health. (2007). </w:t>
      </w:r>
      <w:r w:rsidRPr="00EA3E2E">
        <w:rPr>
          <w:rFonts w:asciiTheme="minorHAnsi" w:hAnsiTheme="minorHAnsi" w:cstheme="minorHAnsi"/>
          <w:i/>
          <w:sz w:val="22"/>
          <w:szCs w:val="22"/>
        </w:rPr>
        <w:t>New Zealand Smoking Cessation Guidelines</w:t>
      </w:r>
      <w:r w:rsidRPr="00EA3E2E">
        <w:rPr>
          <w:rFonts w:asciiTheme="minorHAnsi" w:hAnsiTheme="minorHAnsi" w:cstheme="minorHAnsi"/>
          <w:sz w:val="22"/>
          <w:szCs w:val="22"/>
        </w:rPr>
        <w:t xml:space="preserve">. Wellington: Ministry of Health. </w:t>
      </w:r>
    </w:p>
    <w:p w:rsidR="005C6335" w:rsidRPr="00EA3E2E" w:rsidRDefault="005C6335">
      <w:pPr>
        <w:jc w:val="both"/>
        <w:rPr>
          <w:rFonts w:asciiTheme="minorHAnsi" w:eastAsia="Arial Unicode MS" w:hAnsiTheme="minorHAnsi" w:cstheme="minorHAnsi"/>
          <w:sz w:val="22"/>
          <w:szCs w:val="22"/>
        </w:rPr>
      </w:pPr>
    </w:p>
    <w:p w:rsidR="0017504A" w:rsidRPr="00EA3E2E" w:rsidRDefault="007F27ED">
      <w:pPr>
        <w:jc w:val="both"/>
        <w:rPr>
          <w:rFonts w:asciiTheme="minorHAnsi" w:eastAsia="Arial Unicode MS" w:hAnsiTheme="minorHAnsi" w:cstheme="minorHAnsi"/>
          <w:sz w:val="22"/>
          <w:szCs w:val="22"/>
        </w:rPr>
      </w:pPr>
      <w:r w:rsidRPr="00EA3E2E">
        <w:rPr>
          <w:rFonts w:asciiTheme="minorHAnsi" w:eastAsia="Arial Unicode MS" w:hAnsiTheme="minorHAnsi" w:cstheme="minorHAnsi"/>
          <w:sz w:val="22"/>
          <w:szCs w:val="22"/>
        </w:rPr>
        <w:t xml:space="preserve">Ministry of Health. (2008). </w:t>
      </w:r>
      <w:r w:rsidRPr="00EA3E2E">
        <w:rPr>
          <w:rFonts w:asciiTheme="minorHAnsi" w:eastAsia="Arial Unicode MS" w:hAnsiTheme="minorHAnsi" w:cstheme="minorHAnsi"/>
          <w:i/>
          <w:sz w:val="22"/>
          <w:szCs w:val="22"/>
        </w:rPr>
        <w:t>The B4 School Check: A handbook for Practitioners</w:t>
      </w:r>
      <w:r w:rsidRPr="00EA3E2E">
        <w:rPr>
          <w:rFonts w:asciiTheme="minorHAnsi" w:eastAsia="Arial Unicode MS" w:hAnsiTheme="minorHAnsi" w:cstheme="minorHAnsi"/>
          <w:sz w:val="22"/>
          <w:szCs w:val="22"/>
        </w:rPr>
        <w:t xml:space="preserve">. Wellington: Ministry of Health. </w:t>
      </w:r>
    </w:p>
    <w:p w:rsidR="0017504A" w:rsidRPr="00EA3E2E" w:rsidRDefault="0017504A">
      <w:pPr>
        <w:jc w:val="both"/>
        <w:rPr>
          <w:rFonts w:asciiTheme="minorHAnsi" w:hAnsiTheme="minorHAnsi" w:cstheme="minorHAnsi"/>
          <w:sz w:val="22"/>
          <w:szCs w:val="22"/>
          <w:shd w:val="clear" w:color="auto" w:fill="FFFFFF"/>
        </w:rPr>
      </w:pPr>
    </w:p>
    <w:p w:rsidR="0017504A" w:rsidRPr="00112156" w:rsidRDefault="007F27ED">
      <w:pPr>
        <w:jc w:val="both"/>
        <w:rPr>
          <w:rFonts w:asciiTheme="minorHAnsi" w:hAnsiTheme="minorHAnsi" w:cstheme="minorHAnsi"/>
          <w:sz w:val="22"/>
          <w:szCs w:val="22"/>
          <w:shd w:val="clear" w:color="auto" w:fill="FFFFFF"/>
        </w:rPr>
      </w:pPr>
      <w:r w:rsidRPr="00EA3E2E">
        <w:rPr>
          <w:rFonts w:asciiTheme="minorHAnsi" w:hAnsiTheme="minorHAnsi" w:cstheme="minorHAnsi"/>
          <w:sz w:val="22"/>
          <w:szCs w:val="22"/>
          <w:shd w:val="clear" w:color="auto" w:fill="FFFFFF"/>
        </w:rPr>
        <w:t>Ministry of Health</w:t>
      </w:r>
      <w:r w:rsidR="00C362CB" w:rsidRPr="00EA3E2E">
        <w:rPr>
          <w:rFonts w:asciiTheme="minorHAnsi" w:hAnsiTheme="minorHAnsi" w:cstheme="minorHAnsi"/>
          <w:sz w:val="22"/>
          <w:szCs w:val="22"/>
          <w:shd w:val="clear" w:color="auto" w:fill="FFFFFF"/>
        </w:rPr>
        <w:t>.</w:t>
      </w:r>
      <w:r w:rsidRPr="00EA3E2E">
        <w:rPr>
          <w:rFonts w:asciiTheme="minorHAnsi" w:hAnsiTheme="minorHAnsi" w:cstheme="minorHAnsi"/>
          <w:sz w:val="22"/>
          <w:szCs w:val="22"/>
          <w:shd w:val="clear" w:color="auto" w:fill="FFFFFF"/>
        </w:rPr>
        <w:t xml:space="preserve"> (2010). </w:t>
      </w:r>
      <w:r w:rsidRPr="00EA3E2E">
        <w:rPr>
          <w:rFonts w:asciiTheme="minorHAnsi" w:hAnsiTheme="minorHAnsi" w:cstheme="minorHAnsi"/>
          <w:i/>
          <w:sz w:val="22"/>
          <w:szCs w:val="22"/>
          <w:shd w:val="clear" w:color="auto" w:fill="FFFFFF"/>
        </w:rPr>
        <w:t xml:space="preserve">Changes to the Well Child / Tamariki Ora Framework. </w:t>
      </w:r>
      <w:r w:rsidRPr="00EA3E2E">
        <w:rPr>
          <w:rFonts w:asciiTheme="minorHAnsi" w:hAnsiTheme="minorHAnsi" w:cstheme="minorHAnsi"/>
          <w:sz w:val="22"/>
          <w:szCs w:val="22"/>
          <w:shd w:val="clear" w:color="auto" w:fill="FFFFFF"/>
        </w:rPr>
        <w:t>Wellington: Ministry of Health.</w:t>
      </w:r>
    </w:p>
    <w:p w:rsidR="0017504A" w:rsidRPr="00112156" w:rsidRDefault="0017504A">
      <w:pPr>
        <w:jc w:val="both"/>
        <w:rPr>
          <w:rFonts w:asciiTheme="minorHAnsi" w:eastAsia="Arial Unicode MS" w:hAnsiTheme="minorHAnsi" w:cstheme="minorHAnsi"/>
          <w:sz w:val="22"/>
          <w:szCs w:val="22"/>
        </w:rPr>
      </w:pPr>
    </w:p>
    <w:p w:rsidR="0017504A" w:rsidRPr="00112156" w:rsidRDefault="007E2F49" w:rsidP="00112156">
      <w:pPr>
        <w:autoSpaceDE w:val="0"/>
        <w:autoSpaceDN w:val="0"/>
        <w:adjustRightInd w:val="0"/>
        <w:jc w:val="both"/>
        <w:rPr>
          <w:rFonts w:asciiTheme="minorHAnsi" w:eastAsia="Calibri" w:hAnsiTheme="minorHAnsi" w:cstheme="minorHAnsi"/>
          <w:sz w:val="22"/>
          <w:szCs w:val="22"/>
          <w:lang w:eastAsia="en-NZ"/>
        </w:rPr>
      </w:pPr>
      <w:r w:rsidRPr="00112156">
        <w:rPr>
          <w:rFonts w:asciiTheme="minorHAnsi" w:hAnsiTheme="minorHAnsi" w:cstheme="minorHAnsi"/>
          <w:sz w:val="22"/>
          <w:szCs w:val="22"/>
          <w:shd w:val="clear" w:color="auto" w:fill="FFFFFF"/>
        </w:rPr>
        <w:t>Ministry of Health. (2010). Tatau Kahukura: Māori Health Chart Book. 2nd Edition. Wellington: Ministry of Health</w:t>
      </w:r>
    </w:p>
    <w:p w:rsidR="00112156" w:rsidRDefault="005C6335" w:rsidP="005C6335">
      <w:pPr>
        <w:pStyle w:val="ecxmsonormal"/>
        <w:shd w:val="clear" w:color="auto" w:fill="FFFFFF"/>
        <w:spacing w:before="100" w:beforeAutospacing="1" w:after="100" w:afterAutospacing="1"/>
        <w:jc w:val="both"/>
        <w:rPr>
          <w:rFonts w:asciiTheme="minorHAnsi" w:eastAsia="Arial Unicode MS" w:hAnsiTheme="minorHAnsi" w:cstheme="minorHAnsi"/>
          <w:sz w:val="22"/>
          <w:szCs w:val="22"/>
          <w:lang w:val="en-US"/>
        </w:rPr>
      </w:pPr>
      <w:r w:rsidRPr="00112156">
        <w:rPr>
          <w:rFonts w:asciiTheme="minorHAnsi" w:eastAsia="Arial Unicode MS" w:hAnsiTheme="minorHAnsi" w:cstheme="minorHAnsi"/>
          <w:sz w:val="22"/>
          <w:szCs w:val="22"/>
          <w:lang w:val="en-US"/>
        </w:rPr>
        <w:t>Ministry of Health. (2011</w:t>
      </w:r>
      <w:r w:rsidRPr="00EA3E2E">
        <w:rPr>
          <w:rFonts w:asciiTheme="minorHAnsi" w:eastAsia="Arial Unicode MS" w:hAnsiTheme="minorHAnsi" w:cstheme="minorHAnsi"/>
          <w:i/>
          <w:sz w:val="22"/>
          <w:szCs w:val="22"/>
          <w:lang w:val="en-US"/>
        </w:rPr>
        <w:t>). Immunisation Handbook 2011</w:t>
      </w:r>
      <w:r w:rsidR="00112156">
        <w:rPr>
          <w:rFonts w:asciiTheme="minorHAnsi" w:eastAsia="Arial Unicode MS" w:hAnsiTheme="minorHAnsi" w:cstheme="minorHAnsi"/>
          <w:sz w:val="22"/>
          <w:szCs w:val="22"/>
          <w:lang w:val="en-US"/>
        </w:rPr>
        <w:t>. Wellington:</w:t>
      </w:r>
      <w:r w:rsidRPr="00EA3E2E">
        <w:rPr>
          <w:rFonts w:asciiTheme="minorHAnsi" w:eastAsia="Arial Unicode MS" w:hAnsiTheme="minorHAnsi" w:cstheme="minorHAnsi"/>
          <w:sz w:val="22"/>
          <w:szCs w:val="22"/>
          <w:lang w:val="en-US"/>
        </w:rPr>
        <w:tab/>
        <w:t>Ministry of Health.</w:t>
      </w:r>
    </w:p>
    <w:p w:rsidR="00112156" w:rsidRPr="00EA3E2E" w:rsidRDefault="00112156" w:rsidP="00112156">
      <w:pPr>
        <w:autoSpaceDE w:val="0"/>
        <w:autoSpaceDN w:val="0"/>
        <w:adjustRightInd w:val="0"/>
        <w:jc w:val="both"/>
        <w:rPr>
          <w:rFonts w:asciiTheme="minorHAnsi" w:eastAsia="Calibri" w:hAnsiTheme="minorHAnsi" w:cstheme="minorHAnsi"/>
          <w:sz w:val="22"/>
          <w:szCs w:val="22"/>
          <w:lang w:eastAsia="en-NZ"/>
        </w:rPr>
      </w:pPr>
      <w:r w:rsidRPr="00EA3E2E">
        <w:rPr>
          <w:rFonts w:asciiTheme="minorHAnsi" w:eastAsia="Calibri" w:hAnsiTheme="minorHAnsi" w:cstheme="minorHAnsi"/>
          <w:sz w:val="22"/>
          <w:szCs w:val="22"/>
          <w:lang w:eastAsia="en-NZ"/>
        </w:rPr>
        <w:t xml:space="preserve">Ministry of Health. (2011). </w:t>
      </w:r>
      <w:r w:rsidRPr="00EA3E2E">
        <w:rPr>
          <w:rFonts w:asciiTheme="minorHAnsi" w:eastAsia="Calibri" w:hAnsiTheme="minorHAnsi" w:cstheme="minorHAnsi"/>
          <w:i/>
          <w:iCs/>
          <w:sz w:val="22"/>
          <w:szCs w:val="22"/>
          <w:lang w:eastAsia="en-NZ"/>
        </w:rPr>
        <w:t>Māori Smoking and Tobacco Use 2011</w:t>
      </w:r>
      <w:r w:rsidRPr="00EA3E2E">
        <w:rPr>
          <w:rFonts w:asciiTheme="minorHAnsi" w:eastAsia="Calibri" w:hAnsiTheme="minorHAnsi" w:cstheme="minorHAnsi"/>
          <w:sz w:val="22"/>
          <w:szCs w:val="22"/>
          <w:lang w:eastAsia="en-NZ"/>
        </w:rPr>
        <w:t>. Wellington: Ministry of Health.</w:t>
      </w:r>
    </w:p>
    <w:p w:rsidR="00112156" w:rsidRDefault="00112156" w:rsidP="00112156">
      <w:pPr>
        <w:jc w:val="both"/>
        <w:rPr>
          <w:rFonts w:asciiTheme="minorHAnsi" w:eastAsia="Arial Unicode MS" w:hAnsiTheme="minorHAnsi" w:cstheme="minorHAnsi"/>
          <w:sz w:val="22"/>
          <w:szCs w:val="22"/>
        </w:rPr>
      </w:pPr>
    </w:p>
    <w:p w:rsidR="00112156" w:rsidRPr="00EA3E2E" w:rsidRDefault="00112156" w:rsidP="00112156">
      <w:pPr>
        <w:jc w:val="both"/>
        <w:rPr>
          <w:rFonts w:asciiTheme="minorHAnsi" w:eastAsia="Arial Unicode MS" w:hAnsiTheme="minorHAnsi" w:cstheme="minorHAnsi"/>
          <w:sz w:val="22"/>
          <w:szCs w:val="22"/>
        </w:rPr>
      </w:pPr>
      <w:r w:rsidRPr="00EA3E2E">
        <w:rPr>
          <w:rFonts w:asciiTheme="minorHAnsi" w:eastAsia="Arial Unicode MS" w:hAnsiTheme="minorHAnsi" w:cstheme="minorHAnsi"/>
          <w:sz w:val="22"/>
          <w:szCs w:val="22"/>
        </w:rPr>
        <w:t xml:space="preserve">Ministry of Health. (2011). </w:t>
      </w:r>
      <w:r w:rsidRPr="00EA3E2E">
        <w:rPr>
          <w:rFonts w:asciiTheme="minorHAnsi" w:eastAsia="Arial Unicode MS" w:hAnsiTheme="minorHAnsi" w:cstheme="minorHAnsi"/>
          <w:i/>
          <w:sz w:val="22"/>
          <w:szCs w:val="22"/>
        </w:rPr>
        <w:t>Services for Children and Young People – Well Child Tamariki Ora Service Specification. National Framework</w:t>
      </w:r>
      <w:r w:rsidRPr="00EA3E2E">
        <w:rPr>
          <w:rFonts w:asciiTheme="minorHAnsi" w:eastAsia="Arial Unicode MS" w:hAnsiTheme="minorHAnsi" w:cstheme="minorHAnsi"/>
          <w:sz w:val="22"/>
          <w:szCs w:val="22"/>
        </w:rPr>
        <w:t>. Wellington: Ministry of Health.</w:t>
      </w:r>
    </w:p>
    <w:p w:rsidR="00112156" w:rsidRDefault="00112156" w:rsidP="00112156">
      <w:pPr>
        <w:pStyle w:val="EndNoteBibliography"/>
        <w:rPr>
          <w:rFonts w:asciiTheme="minorHAnsi" w:eastAsia="Arial Unicode MS" w:hAnsiTheme="minorHAnsi" w:cstheme="minorHAnsi"/>
          <w:noProof w:val="0"/>
          <w:lang w:eastAsia="en-NZ"/>
        </w:rPr>
      </w:pPr>
    </w:p>
    <w:p w:rsidR="00112156" w:rsidRDefault="00112156" w:rsidP="00112156">
      <w:pPr>
        <w:pStyle w:val="EndNoteBibliography"/>
      </w:pPr>
      <w:r w:rsidRPr="00C37D18">
        <w:t xml:space="preserve">Ministry of Health. </w:t>
      </w:r>
      <w:r>
        <w:t>(2</w:t>
      </w:r>
      <w:r w:rsidRPr="00C37D18">
        <w:t>011</w:t>
      </w:r>
      <w:r>
        <w:t>)</w:t>
      </w:r>
      <w:r w:rsidRPr="00C37D18">
        <w:t>. Targeting Diabetes and Cardiovascular Disease. Wellington: Ministry of Health.</w:t>
      </w:r>
    </w:p>
    <w:p w:rsidR="002A73FA" w:rsidRDefault="002D45D4" w:rsidP="002802D9">
      <w:pPr>
        <w:pStyle w:val="ecxmsonormal"/>
        <w:shd w:val="clear" w:color="auto" w:fill="FFFFFF"/>
        <w:spacing w:before="100" w:beforeAutospacing="1" w:after="100" w:afterAutospacing="1"/>
        <w:jc w:val="both"/>
        <w:rPr>
          <w:rFonts w:asciiTheme="minorHAnsi" w:eastAsia="Arial Unicode MS" w:hAnsiTheme="minorHAnsi" w:cstheme="minorHAnsi"/>
          <w:sz w:val="22"/>
          <w:szCs w:val="22"/>
        </w:rPr>
      </w:pPr>
      <w:r w:rsidRPr="00EA3E2E">
        <w:rPr>
          <w:rFonts w:asciiTheme="minorHAnsi" w:eastAsia="Arial Unicode MS" w:hAnsiTheme="minorHAnsi" w:cstheme="minorHAnsi"/>
          <w:sz w:val="22"/>
          <w:szCs w:val="22"/>
        </w:rPr>
        <w:t xml:space="preserve">Ministry of Health. (2011a). </w:t>
      </w:r>
      <w:r w:rsidRPr="00EA3E2E">
        <w:rPr>
          <w:rFonts w:asciiTheme="minorHAnsi" w:eastAsia="Arial Unicode MS" w:hAnsiTheme="minorHAnsi" w:cstheme="minorHAnsi"/>
          <w:i/>
          <w:sz w:val="22"/>
          <w:szCs w:val="22"/>
        </w:rPr>
        <w:t>Targeting Immunisation</w:t>
      </w:r>
      <w:r w:rsidRPr="00EA3E2E">
        <w:rPr>
          <w:rFonts w:asciiTheme="minorHAnsi" w:eastAsia="Arial Unicode MS" w:hAnsiTheme="minorHAnsi" w:cstheme="minorHAnsi"/>
          <w:sz w:val="22"/>
          <w:szCs w:val="22"/>
        </w:rPr>
        <w:t>. Wellington: Ministry of Health</w:t>
      </w:r>
      <w:r w:rsidR="00112156">
        <w:rPr>
          <w:rFonts w:asciiTheme="minorHAnsi" w:eastAsia="Arial Unicode MS" w:hAnsiTheme="minorHAnsi" w:cstheme="minorHAnsi"/>
          <w:sz w:val="22"/>
          <w:szCs w:val="22"/>
        </w:rPr>
        <w:t>.</w:t>
      </w:r>
    </w:p>
    <w:p w:rsidR="00112156" w:rsidRPr="00EA3E2E" w:rsidRDefault="00112156" w:rsidP="00112156">
      <w:pPr>
        <w:jc w:val="both"/>
        <w:rPr>
          <w:rFonts w:asciiTheme="minorHAnsi" w:hAnsiTheme="minorHAnsi" w:cstheme="minorHAnsi"/>
          <w:sz w:val="22"/>
          <w:szCs w:val="22"/>
          <w:shd w:val="clear" w:color="auto" w:fill="FFFFFF"/>
        </w:rPr>
      </w:pPr>
      <w:r w:rsidRPr="00EA3E2E">
        <w:rPr>
          <w:rFonts w:asciiTheme="minorHAnsi" w:hAnsiTheme="minorHAnsi" w:cstheme="minorHAnsi"/>
          <w:sz w:val="22"/>
          <w:szCs w:val="22"/>
          <w:shd w:val="clear" w:color="auto" w:fill="FFFFFF"/>
        </w:rPr>
        <w:t xml:space="preserve">Ministry of Health. (2011). </w:t>
      </w:r>
      <w:r w:rsidRPr="00EA3E2E">
        <w:rPr>
          <w:rFonts w:asciiTheme="minorHAnsi" w:hAnsiTheme="minorHAnsi" w:cstheme="minorHAnsi"/>
          <w:i/>
          <w:sz w:val="22"/>
          <w:szCs w:val="22"/>
          <w:shd w:val="clear" w:color="auto" w:fill="FFFFFF"/>
        </w:rPr>
        <w:t>Tatau Kura Tangata: Health of Older Māori Chart Book 2011</w:t>
      </w:r>
      <w:r w:rsidRPr="00EA3E2E">
        <w:rPr>
          <w:rFonts w:asciiTheme="minorHAnsi" w:hAnsiTheme="minorHAnsi" w:cstheme="minorHAnsi"/>
          <w:sz w:val="22"/>
          <w:szCs w:val="22"/>
          <w:shd w:val="clear" w:color="auto" w:fill="FFFFFF"/>
        </w:rPr>
        <w:t>. Wellington: Ministry of Health.</w:t>
      </w:r>
    </w:p>
    <w:p w:rsidR="00D80C21" w:rsidRPr="00EA3E2E" w:rsidRDefault="005C0B48" w:rsidP="00D80C21">
      <w:pPr>
        <w:pStyle w:val="ecxmsonormal"/>
        <w:shd w:val="clear" w:color="auto" w:fill="FFFFFF"/>
        <w:spacing w:before="100" w:beforeAutospacing="1" w:after="100" w:afterAutospacing="1"/>
        <w:jc w:val="both"/>
        <w:rPr>
          <w:rFonts w:asciiTheme="minorHAnsi" w:eastAsia="Arial Unicode MS" w:hAnsiTheme="minorHAnsi" w:cstheme="minorHAnsi"/>
          <w:sz w:val="22"/>
          <w:szCs w:val="22"/>
          <w:lang w:val="en-US"/>
        </w:rPr>
      </w:pPr>
      <w:r w:rsidRPr="00EA3E2E">
        <w:rPr>
          <w:rFonts w:asciiTheme="minorHAnsi" w:eastAsia="Arial Unicode MS" w:hAnsiTheme="minorHAnsi" w:cstheme="minorHAnsi"/>
          <w:sz w:val="22"/>
          <w:szCs w:val="22"/>
          <w:lang w:val="en-US"/>
        </w:rPr>
        <w:t>Ministry of Health. (2012</w:t>
      </w:r>
      <w:r w:rsidR="00D80C21" w:rsidRPr="00EA3E2E">
        <w:rPr>
          <w:rFonts w:asciiTheme="minorHAnsi" w:eastAsia="Arial Unicode MS" w:hAnsiTheme="minorHAnsi" w:cstheme="minorHAnsi"/>
          <w:sz w:val="22"/>
          <w:szCs w:val="22"/>
          <w:lang w:val="en-US"/>
        </w:rPr>
        <w:t xml:space="preserve">). </w:t>
      </w:r>
      <w:r w:rsidR="00D80C21" w:rsidRPr="00EA3E2E">
        <w:rPr>
          <w:rFonts w:asciiTheme="minorHAnsi" w:eastAsia="Arial Unicode MS" w:hAnsiTheme="minorHAnsi" w:cstheme="minorHAnsi"/>
          <w:i/>
          <w:sz w:val="22"/>
          <w:szCs w:val="22"/>
          <w:lang w:val="en-US"/>
        </w:rPr>
        <w:t>Statement of Intent 2013/14 to 2014/15</w:t>
      </w:r>
      <w:r w:rsidR="00D80C21" w:rsidRPr="00EA3E2E">
        <w:rPr>
          <w:rFonts w:asciiTheme="minorHAnsi" w:eastAsia="Arial Unicode MS" w:hAnsiTheme="minorHAnsi" w:cstheme="minorHAnsi"/>
          <w:sz w:val="22"/>
          <w:szCs w:val="22"/>
          <w:lang w:val="en-US"/>
        </w:rPr>
        <w:t>. Wellington: Ministry of Health.</w:t>
      </w:r>
    </w:p>
    <w:p w:rsidR="001C0E0F" w:rsidRPr="00EA3E2E" w:rsidRDefault="001C0E0F" w:rsidP="001C0E0F">
      <w:pPr>
        <w:pStyle w:val="ecxmsonormal"/>
        <w:shd w:val="clear" w:color="auto" w:fill="FFFFFF"/>
        <w:spacing w:before="100" w:beforeAutospacing="1" w:after="100" w:afterAutospacing="1"/>
        <w:jc w:val="both"/>
        <w:rPr>
          <w:rFonts w:asciiTheme="minorHAnsi" w:eastAsia="Arial Unicode MS" w:hAnsiTheme="minorHAnsi" w:cstheme="minorHAnsi"/>
          <w:sz w:val="22"/>
          <w:szCs w:val="22"/>
        </w:rPr>
      </w:pPr>
      <w:r w:rsidRPr="00EA3E2E">
        <w:rPr>
          <w:rFonts w:asciiTheme="minorHAnsi" w:hAnsiTheme="minorHAnsi" w:cstheme="minorHAnsi"/>
          <w:sz w:val="22"/>
          <w:szCs w:val="22"/>
          <w:shd w:val="clear" w:color="auto" w:fill="FFFFFF"/>
        </w:rPr>
        <w:t>Ministry of Health. (2012a).</w:t>
      </w:r>
      <w:r w:rsidRPr="00EA3E2E">
        <w:rPr>
          <w:rFonts w:asciiTheme="minorHAnsi" w:hAnsiTheme="minorHAnsi" w:cstheme="minorHAnsi"/>
          <w:i/>
          <w:sz w:val="22"/>
          <w:szCs w:val="22"/>
          <w:shd w:val="clear" w:color="auto" w:fill="FFFFFF"/>
        </w:rPr>
        <w:t>The Health of New Zealand Children: Key findings of the New Zealand Health Survey 2011/12</w:t>
      </w:r>
      <w:r w:rsidRPr="00EA3E2E">
        <w:rPr>
          <w:rFonts w:asciiTheme="minorHAnsi" w:hAnsiTheme="minorHAnsi" w:cstheme="minorHAnsi"/>
          <w:sz w:val="22"/>
          <w:szCs w:val="22"/>
          <w:shd w:val="clear" w:color="auto" w:fill="FFFFFF"/>
        </w:rPr>
        <w:t xml:space="preserve">. Wellington: </w:t>
      </w:r>
      <w:r w:rsidRPr="00EA3E2E">
        <w:rPr>
          <w:rFonts w:asciiTheme="minorHAnsi" w:eastAsia="Arial Unicode MS" w:hAnsiTheme="minorHAnsi" w:cstheme="minorHAnsi"/>
          <w:sz w:val="22"/>
          <w:szCs w:val="22"/>
        </w:rPr>
        <w:t>Ministry of Health.</w:t>
      </w:r>
    </w:p>
    <w:p w:rsidR="00FA4749" w:rsidRPr="00EA3E2E" w:rsidRDefault="00FA4749" w:rsidP="00CF26CB">
      <w:pPr>
        <w:pStyle w:val="ecxmsonormal"/>
        <w:shd w:val="clear" w:color="auto" w:fill="FFFFFF"/>
        <w:spacing w:before="100" w:beforeAutospacing="1" w:after="100" w:afterAutospacing="1"/>
        <w:jc w:val="both"/>
        <w:rPr>
          <w:rFonts w:asciiTheme="minorHAnsi" w:eastAsia="Arial Unicode MS" w:hAnsiTheme="minorHAnsi" w:cstheme="minorHAnsi"/>
          <w:sz w:val="22"/>
          <w:szCs w:val="22"/>
        </w:rPr>
      </w:pPr>
      <w:r w:rsidRPr="00EA3E2E">
        <w:rPr>
          <w:rFonts w:asciiTheme="minorHAnsi" w:eastAsia="Arial Unicode MS" w:hAnsiTheme="minorHAnsi" w:cstheme="minorHAnsi"/>
          <w:sz w:val="22"/>
          <w:szCs w:val="22"/>
        </w:rPr>
        <w:t>Ministry of Health. (2012</w:t>
      </w:r>
      <w:r w:rsidR="00300B49" w:rsidRPr="00EA3E2E">
        <w:rPr>
          <w:rFonts w:asciiTheme="minorHAnsi" w:eastAsia="Arial Unicode MS" w:hAnsiTheme="minorHAnsi" w:cstheme="minorHAnsi"/>
          <w:sz w:val="22"/>
          <w:szCs w:val="22"/>
        </w:rPr>
        <w:t>b</w:t>
      </w:r>
      <w:r w:rsidRPr="00EA3E2E">
        <w:rPr>
          <w:rFonts w:asciiTheme="minorHAnsi" w:eastAsia="Arial Unicode MS" w:hAnsiTheme="minorHAnsi" w:cstheme="minorHAnsi"/>
          <w:sz w:val="22"/>
          <w:szCs w:val="22"/>
        </w:rPr>
        <w:t xml:space="preserve">). </w:t>
      </w:r>
      <w:r w:rsidRPr="00EA3E2E">
        <w:rPr>
          <w:rFonts w:asciiTheme="minorHAnsi" w:eastAsia="Arial Unicode MS" w:hAnsiTheme="minorHAnsi" w:cstheme="minorHAnsi"/>
          <w:i/>
          <w:sz w:val="22"/>
          <w:szCs w:val="22"/>
        </w:rPr>
        <w:t xml:space="preserve">Tatau Niho </w:t>
      </w:r>
      <w:r w:rsidR="00DF6FA7" w:rsidRPr="00EA3E2E">
        <w:rPr>
          <w:rFonts w:asciiTheme="minorHAnsi" w:eastAsia="Arial Unicode MS" w:hAnsiTheme="minorHAnsi" w:cstheme="minorHAnsi"/>
          <w:i/>
          <w:sz w:val="22"/>
          <w:szCs w:val="22"/>
        </w:rPr>
        <w:t>Māori</w:t>
      </w:r>
      <w:r w:rsidR="00655C9C" w:rsidRPr="00EA3E2E">
        <w:rPr>
          <w:rFonts w:asciiTheme="minorHAnsi" w:eastAsia="Arial Unicode MS" w:hAnsiTheme="minorHAnsi" w:cstheme="minorHAnsi"/>
          <w:i/>
          <w:sz w:val="22"/>
          <w:szCs w:val="22"/>
        </w:rPr>
        <w:t>:</w:t>
      </w:r>
      <w:r w:rsidRPr="00EA3E2E">
        <w:rPr>
          <w:rFonts w:asciiTheme="minorHAnsi" w:eastAsia="Arial Unicode MS" w:hAnsiTheme="minorHAnsi" w:cstheme="minorHAnsi"/>
          <w:i/>
          <w:sz w:val="22"/>
          <w:szCs w:val="22"/>
        </w:rPr>
        <w:t xml:space="preserve">Oral Health of </w:t>
      </w:r>
      <w:r w:rsidR="00DF6FA7" w:rsidRPr="00EA3E2E">
        <w:rPr>
          <w:rFonts w:asciiTheme="minorHAnsi" w:eastAsia="Arial Unicode MS" w:hAnsiTheme="minorHAnsi" w:cstheme="minorHAnsi"/>
          <w:i/>
          <w:sz w:val="22"/>
          <w:szCs w:val="22"/>
        </w:rPr>
        <w:t>Māori</w:t>
      </w:r>
      <w:r w:rsidRPr="00EA3E2E">
        <w:rPr>
          <w:rFonts w:asciiTheme="minorHAnsi" w:eastAsia="Arial Unicode MS" w:hAnsiTheme="minorHAnsi" w:cstheme="minorHAnsi"/>
          <w:i/>
          <w:sz w:val="22"/>
          <w:szCs w:val="22"/>
        </w:rPr>
        <w:t xml:space="preserve"> 2009</w:t>
      </w:r>
      <w:r w:rsidRPr="00EA3E2E">
        <w:rPr>
          <w:rFonts w:asciiTheme="minorHAnsi" w:eastAsia="Arial Unicode MS" w:hAnsiTheme="minorHAnsi" w:cstheme="minorHAnsi"/>
          <w:sz w:val="22"/>
          <w:szCs w:val="22"/>
        </w:rPr>
        <w:t xml:space="preserve">. Wellington: Ministry of Health. </w:t>
      </w:r>
    </w:p>
    <w:p w:rsidR="00DA011A" w:rsidRPr="00EA3E2E" w:rsidRDefault="00DA011A" w:rsidP="00426E50">
      <w:pPr>
        <w:pStyle w:val="ecxmsonormal"/>
        <w:shd w:val="clear" w:color="auto" w:fill="FFFFFF"/>
        <w:spacing w:before="100" w:beforeAutospacing="1" w:after="100" w:afterAutospacing="1"/>
        <w:jc w:val="both"/>
        <w:rPr>
          <w:rFonts w:asciiTheme="minorHAnsi" w:eastAsia="Arial Unicode MS" w:hAnsiTheme="minorHAnsi" w:cstheme="minorHAnsi"/>
          <w:sz w:val="22"/>
          <w:szCs w:val="22"/>
        </w:rPr>
      </w:pPr>
      <w:r w:rsidRPr="00EA3E2E">
        <w:rPr>
          <w:rFonts w:asciiTheme="minorHAnsi" w:eastAsia="Arial Unicode MS" w:hAnsiTheme="minorHAnsi" w:cstheme="minorHAnsi"/>
          <w:sz w:val="22"/>
          <w:szCs w:val="22"/>
        </w:rPr>
        <w:t xml:space="preserve">Ministry of Health. (2013). </w:t>
      </w:r>
      <w:r w:rsidR="00C362CB" w:rsidRPr="00EA3E2E">
        <w:rPr>
          <w:rFonts w:asciiTheme="minorHAnsi" w:eastAsia="Arial Unicode MS" w:hAnsiTheme="minorHAnsi" w:cstheme="minorHAnsi"/>
          <w:i/>
          <w:sz w:val="22"/>
          <w:szCs w:val="22"/>
        </w:rPr>
        <w:t>Statement of Intent 2013 – 2016.</w:t>
      </w:r>
      <w:r w:rsidRPr="00EA3E2E">
        <w:rPr>
          <w:rFonts w:asciiTheme="minorHAnsi" w:eastAsia="Arial Unicode MS" w:hAnsiTheme="minorHAnsi" w:cstheme="minorHAnsi"/>
          <w:i/>
          <w:sz w:val="22"/>
          <w:szCs w:val="22"/>
        </w:rPr>
        <w:t xml:space="preserve"> </w:t>
      </w:r>
      <w:r w:rsidRPr="00EA3E2E">
        <w:rPr>
          <w:rFonts w:asciiTheme="minorHAnsi" w:eastAsia="Arial Unicode MS" w:hAnsiTheme="minorHAnsi" w:cstheme="minorHAnsi"/>
          <w:sz w:val="22"/>
          <w:szCs w:val="22"/>
        </w:rPr>
        <w:t xml:space="preserve">Wellington: New Zealand. </w:t>
      </w:r>
    </w:p>
    <w:p w:rsidR="00DA011A" w:rsidRDefault="00426E50" w:rsidP="00426E50">
      <w:pPr>
        <w:pStyle w:val="ecxmsonormal"/>
        <w:shd w:val="clear" w:color="auto" w:fill="FFFFFF"/>
        <w:spacing w:before="100" w:beforeAutospacing="1" w:after="100" w:afterAutospacing="1"/>
        <w:jc w:val="both"/>
        <w:rPr>
          <w:rFonts w:asciiTheme="minorHAnsi" w:eastAsia="Arial Unicode MS" w:hAnsiTheme="minorHAnsi" w:cstheme="minorHAnsi"/>
          <w:sz w:val="22"/>
          <w:szCs w:val="22"/>
        </w:rPr>
      </w:pPr>
      <w:r w:rsidRPr="00EA3E2E">
        <w:rPr>
          <w:rFonts w:asciiTheme="minorHAnsi" w:eastAsia="Arial Unicode MS" w:hAnsiTheme="minorHAnsi" w:cstheme="minorHAnsi"/>
          <w:sz w:val="22"/>
          <w:szCs w:val="22"/>
        </w:rPr>
        <w:lastRenderedPageBreak/>
        <w:t>Ministry of Health. (2013).</w:t>
      </w:r>
      <w:r w:rsidRPr="00EA3E2E">
        <w:rPr>
          <w:rFonts w:asciiTheme="minorHAnsi" w:eastAsia="Arial Unicode MS" w:hAnsiTheme="minorHAnsi" w:cstheme="minorHAnsi"/>
          <w:sz w:val="20"/>
          <w:szCs w:val="22"/>
        </w:rPr>
        <w:t xml:space="preserve"> </w:t>
      </w:r>
      <w:r w:rsidRPr="00EA3E2E">
        <w:rPr>
          <w:rFonts w:asciiTheme="minorHAnsi" w:eastAsia="Arial Unicode MS" w:hAnsiTheme="minorHAnsi" w:cstheme="minorHAnsi"/>
          <w:i/>
          <w:sz w:val="22"/>
          <w:szCs w:val="22"/>
        </w:rPr>
        <w:t>The Health of Māori Adults and Children</w:t>
      </w:r>
      <w:r w:rsidRPr="00EA3E2E">
        <w:rPr>
          <w:rFonts w:asciiTheme="minorHAnsi" w:eastAsia="Arial Unicode MS" w:hAnsiTheme="minorHAnsi" w:cstheme="minorHAnsi"/>
          <w:sz w:val="22"/>
          <w:szCs w:val="22"/>
        </w:rPr>
        <w:t xml:space="preserve">. Wellington: Ministry of Health. </w:t>
      </w:r>
    </w:p>
    <w:p w:rsidR="00A2030F" w:rsidRDefault="00A2030F" w:rsidP="007D1DA7">
      <w:pPr>
        <w:pStyle w:val="ecxmsonormal"/>
        <w:shd w:val="clear" w:color="auto" w:fill="FFFFFF"/>
        <w:spacing w:before="240" w:beforeAutospacing="1" w:after="100" w:afterAutospacing="1"/>
        <w:jc w:val="both"/>
        <w:rPr>
          <w:rFonts w:asciiTheme="minorHAnsi" w:eastAsia="Arial Unicode MS" w:hAnsiTheme="minorHAnsi" w:cstheme="minorHAnsi"/>
          <w:sz w:val="22"/>
          <w:szCs w:val="22"/>
        </w:rPr>
      </w:pPr>
      <w:r w:rsidRPr="0003585F">
        <w:rPr>
          <w:rFonts w:asciiTheme="minorHAnsi" w:eastAsia="Arial Unicode MS" w:hAnsiTheme="minorHAnsi" w:cstheme="minorHAnsi"/>
          <w:sz w:val="22"/>
          <w:szCs w:val="22"/>
        </w:rPr>
        <w:t xml:space="preserve">Ministry of Health. (2013b). Health Effects of Smoking. Accessible online at: </w:t>
      </w:r>
      <w:hyperlink r:id="rId24" w:history="1">
        <w:r w:rsidRPr="0003585F">
          <w:rPr>
            <w:rStyle w:val="Hyperlink"/>
            <w:rFonts w:asciiTheme="minorHAnsi" w:eastAsia="Arial Unicode MS" w:hAnsiTheme="minorHAnsi" w:cstheme="minorHAnsi"/>
            <w:noProof w:val="0"/>
            <w:color w:val="auto"/>
            <w:sz w:val="22"/>
            <w:szCs w:val="22"/>
          </w:rPr>
          <w:t>http://www.health.govt.nz/your-health/healthy-living/addictions/smoking/health-effects-smoking</w:t>
        </w:r>
      </w:hyperlink>
      <w:r w:rsidRPr="0003585F">
        <w:rPr>
          <w:rFonts w:asciiTheme="minorHAnsi" w:eastAsia="Arial Unicode MS" w:hAnsiTheme="minorHAnsi" w:cstheme="minorHAnsi"/>
          <w:sz w:val="22"/>
          <w:szCs w:val="22"/>
        </w:rPr>
        <w:t>.  Accessed: 14 August 2013.</w:t>
      </w:r>
    </w:p>
    <w:p w:rsidR="00112156" w:rsidRPr="00C37D18" w:rsidRDefault="00112156" w:rsidP="00112156">
      <w:pPr>
        <w:spacing w:before="120" w:after="120"/>
        <w:rPr>
          <w:rFonts w:cs="Tiempos Text Regular"/>
          <w:color w:val="000000"/>
          <w:sz w:val="22"/>
          <w:szCs w:val="22"/>
        </w:rPr>
      </w:pPr>
      <w:r w:rsidRPr="00C37D18">
        <w:rPr>
          <w:rFonts w:cs="Tiempos Text Regular"/>
          <w:color w:val="000000"/>
          <w:sz w:val="22"/>
          <w:szCs w:val="22"/>
        </w:rPr>
        <w:t xml:space="preserve">Ministry of Health. </w:t>
      </w:r>
      <w:r>
        <w:rPr>
          <w:rFonts w:cs="Tiempos Text Regular"/>
          <w:color w:val="000000"/>
          <w:sz w:val="22"/>
          <w:szCs w:val="22"/>
        </w:rPr>
        <w:t>(</w:t>
      </w:r>
      <w:r w:rsidRPr="00C37D18">
        <w:rPr>
          <w:rFonts w:cs="Tiempos Text Regular"/>
          <w:color w:val="000000"/>
          <w:sz w:val="22"/>
          <w:szCs w:val="22"/>
        </w:rPr>
        <w:t>2014</w:t>
      </w:r>
      <w:r>
        <w:rPr>
          <w:rFonts w:cs="Tiempos Text Regular"/>
          <w:color w:val="000000"/>
          <w:sz w:val="22"/>
          <w:szCs w:val="22"/>
        </w:rPr>
        <w:t>)</w:t>
      </w:r>
      <w:r w:rsidRPr="00C37D18">
        <w:rPr>
          <w:rFonts w:cs="Tiempos Text Regular"/>
          <w:color w:val="000000"/>
          <w:sz w:val="22"/>
          <w:szCs w:val="22"/>
        </w:rPr>
        <w:t xml:space="preserve">. </w:t>
      </w:r>
      <w:r w:rsidRPr="00C37D18">
        <w:rPr>
          <w:rFonts w:cs="Tiempos Text Regular"/>
          <w:i/>
          <w:iCs/>
          <w:color w:val="000000"/>
          <w:sz w:val="22"/>
          <w:szCs w:val="22"/>
        </w:rPr>
        <w:t>National Diabetes Work Programme.</w:t>
      </w:r>
      <w:r w:rsidRPr="00C37D18">
        <w:rPr>
          <w:rFonts w:cs="Tiempos Text Regular"/>
          <w:color w:val="000000"/>
          <w:sz w:val="22"/>
          <w:szCs w:val="22"/>
        </w:rPr>
        <w:t>Wellington: Ministry of Health.</w:t>
      </w:r>
    </w:p>
    <w:p w:rsidR="005C6335" w:rsidRPr="00EA3E2E" w:rsidRDefault="005C6335" w:rsidP="00655C9C">
      <w:pPr>
        <w:pStyle w:val="ecxmsonormal"/>
        <w:shd w:val="clear" w:color="auto" w:fill="FFFFFF"/>
        <w:spacing w:before="100" w:beforeAutospacing="1" w:after="100" w:afterAutospacing="1"/>
        <w:jc w:val="both"/>
        <w:rPr>
          <w:rFonts w:asciiTheme="minorHAnsi" w:eastAsia="Arial Unicode MS" w:hAnsiTheme="minorHAnsi" w:cstheme="minorHAnsi"/>
          <w:sz w:val="22"/>
          <w:szCs w:val="22"/>
        </w:rPr>
      </w:pPr>
      <w:r w:rsidRPr="00EA3E2E">
        <w:rPr>
          <w:rFonts w:asciiTheme="minorHAnsi" w:eastAsia="Arial Unicode MS" w:hAnsiTheme="minorHAnsi" w:cstheme="minorHAnsi"/>
          <w:sz w:val="22"/>
          <w:szCs w:val="22"/>
        </w:rPr>
        <w:t xml:space="preserve">Ministry of Social Development. (2011). </w:t>
      </w:r>
      <w:r w:rsidRPr="00EA3E2E">
        <w:rPr>
          <w:rFonts w:asciiTheme="minorHAnsi" w:eastAsia="Arial Unicode MS" w:hAnsiTheme="minorHAnsi" w:cstheme="minorHAnsi"/>
          <w:i/>
          <w:sz w:val="22"/>
          <w:szCs w:val="22"/>
        </w:rPr>
        <w:t>The Green Paper for Vulnerable Children: Every Child Thrives, Belongs, Achieves</w:t>
      </w:r>
      <w:r w:rsidR="00C362CB" w:rsidRPr="00EA3E2E">
        <w:rPr>
          <w:rFonts w:asciiTheme="minorHAnsi" w:eastAsia="Arial Unicode MS" w:hAnsiTheme="minorHAnsi" w:cstheme="minorHAnsi"/>
          <w:i/>
          <w:sz w:val="22"/>
          <w:szCs w:val="22"/>
        </w:rPr>
        <w:t>.</w:t>
      </w:r>
      <w:r w:rsidRPr="00EA3E2E">
        <w:rPr>
          <w:rFonts w:asciiTheme="minorHAnsi" w:eastAsia="Arial Unicode MS" w:hAnsiTheme="minorHAnsi" w:cstheme="minorHAnsi"/>
          <w:sz w:val="22"/>
          <w:szCs w:val="22"/>
        </w:rPr>
        <w:t xml:space="preserve"> Wellington: Ministry of Social Development. </w:t>
      </w:r>
    </w:p>
    <w:p w:rsidR="005C6335" w:rsidRPr="00EA3E2E" w:rsidRDefault="005C6335" w:rsidP="005C6335">
      <w:pPr>
        <w:jc w:val="both"/>
        <w:rPr>
          <w:rFonts w:asciiTheme="minorHAnsi" w:eastAsia="Arial Unicode MS" w:hAnsiTheme="minorHAnsi" w:cstheme="minorHAnsi"/>
          <w:sz w:val="22"/>
          <w:szCs w:val="22"/>
        </w:rPr>
      </w:pPr>
      <w:r w:rsidRPr="00EA3E2E">
        <w:rPr>
          <w:rFonts w:asciiTheme="minorHAnsi" w:eastAsia="Arial Unicode MS" w:hAnsiTheme="minorHAnsi" w:cstheme="minorHAnsi"/>
          <w:sz w:val="22"/>
          <w:szCs w:val="22"/>
        </w:rPr>
        <w:t xml:space="preserve">Ministry of Social Development. (2012). </w:t>
      </w:r>
      <w:r w:rsidRPr="00EA3E2E">
        <w:rPr>
          <w:rFonts w:asciiTheme="minorHAnsi" w:eastAsia="Arial Unicode MS" w:hAnsiTheme="minorHAnsi" w:cstheme="minorHAnsi"/>
          <w:i/>
          <w:sz w:val="22"/>
          <w:szCs w:val="22"/>
        </w:rPr>
        <w:t>The White Paper for Vulnerable Children: Children’s Action Plan</w:t>
      </w:r>
      <w:r w:rsidRPr="00EA3E2E">
        <w:rPr>
          <w:rFonts w:asciiTheme="minorHAnsi" w:eastAsia="Arial Unicode MS" w:hAnsiTheme="minorHAnsi" w:cstheme="minorHAnsi"/>
          <w:sz w:val="22"/>
          <w:szCs w:val="22"/>
        </w:rPr>
        <w:t xml:space="preserve">. Wellington: Ministry of Social Development. </w:t>
      </w:r>
    </w:p>
    <w:p w:rsidR="005C6335" w:rsidRPr="00EA3E2E" w:rsidRDefault="005C6335" w:rsidP="005C6335">
      <w:pPr>
        <w:jc w:val="both"/>
        <w:rPr>
          <w:rFonts w:asciiTheme="minorHAnsi" w:eastAsia="Arial Unicode MS" w:hAnsiTheme="minorHAnsi" w:cstheme="minorHAnsi"/>
          <w:sz w:val="22"/>
          <w:szCs w:val="22"/>
        </w:rPr>
      </w:pPr>
    </w:p>
    <w:p w:rsidR="005C6335" w:rsidRPr="00EA3E2E" w:rsidRDefault="005C6335" w:rsidP="005C6335">
      <w:pPr>
        <w:jc w:val="both"/>
        <w:rPr>
          <w:rFonts w:asciiTheme="minorHAnsi" w:eastAsia="Arial Unicode MS" w:hAnsiTheme="minorHAnsi" w:cstheme="minorHAnsi"/>
          <w:sz w:val="22"/>
          <w:szCs w:val="22"/>
        </w:rPr>
      </w:pPr>
      <w:r w:rsidRPr="00EA3E2E">
        <w:rPr>
          <w:rFonts w:asciiTheme="minorHAnsi" w:eastAsia="Arial Unicode MS" w:hAnsiTheme="minorHAnsi" w:cstheme="minorHAnsi"/>
          <w:sz w:val="22"/>
          <w:szCs w:val="22"/>
        </w:rPr>
        <w:t xml:space="preserve">Ministry of Social Development. (2012). </w:t>
      </w:r>
      <w:r w:rsidRPr="00EA3E2E">
        <w:rPr>
          <w:rFonts w:asciiTheme="minorHAnsi" w:eastAsia="Arial Unicode MS" w:hAnsiTheme="minorHAnsi" w:cstheme="minorHAnsi"/>
          <w:i/>
          <w:sz w:val="22"/>
          <w:szCs w:val="22"/>
        </w:rPr>
        <w:t>The White Paper for Vulnerable Children: Volume 1.</w:t>
      </w:r>
      <w:r w:rsidRPr="00EA3E2E">
        <w:rPr>
          <w:rFonts w:asciiTheme="minorHAnsi" w:eastAsia="Arial Unicode MS" w:hAnsiTheme="minorHAnsi" w:cstheme="minorHAnsi"/>
          <w:sz w:val="22"/>
          <w:szCs w:val="22"/>
        </w:rPr>
        <w:t xml:space="preserve"> Wellington: Ministry of Social Development. </w:t>
      </w:r>
    </w:p>
    <w:p w:rsidR="00602CA6" w:rsidRPr="00EA3E2E" w:rsidRDefault="00602CA6" w:rsidP="0085634C">
      <w:pPr>
        <w:pStyle w:val="ecxmsonormal"/>
        <w:shd w:val="clear" w:color="auto" w:fill="FFFFFF"/>
        <w:spacing w:before="100" w:beforeAutospacing="1" w:after="100" w:afterAutospacing="1"/>
        <w:jc w:val="both"/>
        <w:rPr>
          <w:rFonts w:asciiTheme="minorHAnsi" w:eastAsia="Arial Unicode MS" w:hAnsiTheme="minorHAnsi" w:cstheme="minorHAnsi"/>
          <w:sz w:val="22"/>
          <w:szCs w:val="22"/>
          <w:lang w:val="en-US"/>
        </w:rPr>
      </w:pPr>
      <w:r w:rsidRPr="00EA3E2E">
        <w:rPr>
          <w:rFonts w:asciiTheme="minorHAnsi" w:eastAsia="Arial Unicode MS" w:hAnsiTheme="minorHAnsi" w:cstheme="minorHAnsi"/>
          <w:sz w:val="22"/>
          <w:szCs w:val="22"/>
          <w:lang w:val="en-US"/>
        </w:rPr>
        <w:t xml:space="preserve">National </w:t>
      </w:r>
      <w:r w:rsidR="00DF6FA7" w:rsidRPr="00EA3E2E">
        <w:rPr>
          <w:rFonts w:asciiTheme="minorHAnsi" w:eastAsia="Arial Unicode MS" w:hAnsiTheme="minorHAnsi" w:cstheme="minorHAnsi"/>
          <w:sz w:val="22"/>
          <w:szCs w:val="22"/>
          <w:lang w:val="en-US"/>
        </w:rPr>
        <w:t>Māori</w:t>
      </w:r>
      <w:r w:rsidRPr="00EA3E2E">
        <w:rPr>
          <w:rFonts w:asciiTheme="minorHAnsi" w:eastAsia="Arial Unicode MS" w:hAnsiTheme="minorHAnsi" w:cstheme="minorHAnsi"/>
          <w:sz w:val="22"/>
          <w:szCs w:val="22"/>
          <w:lang w:val="en-US"/>
        </w:rPr>
        <w:t xml:space="preserve"> Oral Health Coordination Service. (2012). </w:t>
      </w:r>
      <w:r w:rsidRPr="00EA3E2E">
        <w:rPr>
          <w:rFonts w:asciiTheme="minorHAnsi" w:eastAsia="Arial Unicode MS" w:hAnsiTheme="minorHAnsi" w:cstheme="minorHAnsi"/>
          <w:i/>
          <w:sz w:val="22"/>
          <w:szCs w:val="22"/>
          <w:lang w:val="en-US"/>
        </w:rPr>
        <w:t>Oral and General Health: Integrated Practices in the Primary Care Setting.</w:t>
      </w:r>
      <w:r w:rsidRPr="00EA3E2E">
        <w:rPr>
          <w:rFonts w:asciiTheme="minorHAnsi" w:eastAsia="Arial Unicode MS" w:hAnsiTheme="minorHAnsi" w:cstheme="minorHAnsi"/>
          <w:sz w:val="22"/>
          <w:szCs w:val="22"/>
          <w:lang w:val="en-US"/>
        </w:rPr>
        <w:t xml:space="preserve"> A report prepared for the </w:t>
      </w:r>
      <w:r w:rsidR="00DF6FA7" w:rsidRPr="00EA3E2E">
        <w:rPr>
          <w:rFonts w:asciiTheme="minorHAnsi" w:eastAsia="Arial Unicode MS" w:hAnsiTheme="minorHAnsi" w:cstheme="minorHAnsi"/>
          <w:sz w:val="22"/>
          <w:szCs w:val="22"/>
          <w:lang w:val="en-US"/>
        </w:rPr>
        <w:t>Māori</w:t>
      </w:r>
      <w:r w:rsidRPr="00EA3E2E">
        <w:rPr>
          <w:rFonts w:asciiTheme="minorHAnsi" w:eastAsia="Arial Unicode MS" w:hAnsiTheme="minorHAnsi" w:cstheme="minorHAnsi"/>
          <w:sz w:val="22"/>
          <w:szCs w:val="22"/>
          <w:lang w:val="en-US"/>
        </w:rPr>
        <w:t xml:space="preserve"> Health Business Unit, Ministry of Health. </w:t>
      </w:r>
    </w:p>
    <w:p w:rsidR="001C0E0F" w:rsidRPr="00EA3E2E" w:rsidRDefault="001C0E0F" w:rsidP="001C0E0F">
      <w:pPr>
        <w:spacing w:before="100" w:beforeAutospacing="1" w:after="100" w:afterAutospacing="1"/>
        <w:jc w:val="both"/>
        <w:rPr>
          <w:rFonts w:asciiTheme="minorHAnsi" w:hAnsiTheme="minorHAnsi" w:cstheme="minorHAnsi"/>
          <w:sz w:val="22"/>
          <w:szCs w:val="22"/>
        </w:rPr>
      </w:pPr>
      <w:r w:rsidRPr="00EA3E2E">
        <w:rPr>
          <w:rFonts w:asciiTheme="minorHAnsi" w:hAnsiTheme="minorHAnsi" w:cstheme="minorHAnsi"/>
          <w:sz w:val="22"/>
          <w:szCs w:val="22"/>
        </w:rPr>
        <w:t xml:space="preserve">New Zealand Guidelines Group. (2011). </w:t>
      </w:r>
      <w:r w:rsidRPr="00EA3E2E">
        <w:rPr>
          <w:rFonts w:asciiTheme="minorHAnsi" w:hAnsiTheme="minorHAnsi" w:cstheme="minorHAnsi"/>
          <w:i/>
          <w:sz w:val="22"/>
          <w:szCs w:val="22"/>
        </w:rPr>
        <w:t>Management of Group A Streptococcal Sore Throat</w:t>
      </w:r>
      <w:r w:rsidRPr="00EA3E2E">
        <w:rPr>
          <w:rFonts w:asciiTheme="minorHAnsi" w:hAnsiTheme="minorHAnsi" w:cstheme="minorHAnsi"/>
          <w:sz w:val="22"/>
          <w:szCs w:val="22"/>
        </w:rPr>
        <w:t xml:space="preserve">. Wellington: New Zealand Guidelines Group. </w:t>
      </w:r>
    </w:p>
    <w:p w:rsidR="001C0E0F" w:rsidRPr="00EA3E2E" w:rsidRDefault="001C0E0F" w:rsidP="001C0E0F">
      <w:pPr>
        <w:spacing w:before="100" w:beforeAutospacing="1" w:after="100" w:afterAutospacing="1"/>
        <w:jc w:val="both"/>
        <w:rPr>
          <w:rFonts w:asciiTheme="minorHAnsi" w:hAnsiTheme="minorHAnsi" w:cstheme="minorHAnsi"/>
          <w:sz w:val="22"/>
          <w:szCs w:val="22"/>
        </w:rPr>
      </w:pPr>
      <w:r w:rsidRPr="00EA3E2E">
        <w:rPr>
          <w:rFonts w:asciiTheme="minorHAnsi" w:hAnsiTheme="minorHAnsi" w:cstheme="minorHAnsi"/>
          <w:sz w:val="22"/>
          <w:szCs w:val="22"/>
        </w:rPr>
        <w:t xml:space="preserve">New Zealand Guidelines Group. (2011). </w:t>
      </w:r>
      <w:r w:rsidRPr="00EA3E2E">
        <w:rPr>
          <w:rFonts w:asciiTheme="minorHAnsi" w:hAnsiTheme="minorHAnsi" w:cstheme="minorHAnsi"/>
          <w:i/>
          <w:sz w:val="22"/>
          <w:szCs w:val="22"/>
        </w:rPr>
        <w:t>RapidE: Rheumatic Fever: A systematic review of the literature, of health literacy, overcrowding, and Rheumatic Fever</w:t>
      </w:r>
      <w:r w:rsidR="00C362CB" w:rsidRPr="00EA3E2E">
        <w:rPr>
          <w:rFonts w:asciiTheme="minorHAnsi" w:hAnsiTheme="minorHAnsi" w:cstheme="minorHAnsi"/>
          <w:sz w:val="22"/>
          <w:szCs w:val="22"/>
        </w:rPr>
        <w:t>.</w:t>
      </w:r>
      <w:r w:rsidRPr="00EA3E2E">
        <w:rPr>
          <w:rFonts w:asciiTheme="minorHAnsi" w:hAnsiTheme="minorHAnsi" w:cstheme="minorHAnsi"/>
          <w:sz w:val="22"/>
          <w:szCs w:val="22"/>
        </w:rPr>
        <w:t xml:space="preserve"> Wellington: New Zealand Guidelines Group. </w:t>
      </w:r>
    </w:p>
    <w:p w:rsidR="001C0E0F" w:rsidRPr="00EA3E2E" w:rsidRDefault="001C0E0F" w:rsidP="001C0E0F">
      <w:pPr>
        <w:rPr>
          <w:rFonts w:asciiTheme="minorHAnsi" w:hAnsiTheme="minorHAnsi" w:cstheme="minorHAnsi"/>
          <w:sz w:val="22"/>
          <w:szCs w:val="22"/>
        </w:rPr>
      </w:pPr>
      <w:r w:rsidRPr="00EA3E2E">
        <w:rPr>
          <w:rFonts w:asciiTheme="minorHAnsi" w:hAnsiTheme="minorHAnsi" w:cstheme="minorHAnsi"/>
          <w:sz w:val="22"/>
          <w:szCs w:val="22"/>
        </w:rPr>
        <w:t xml:space="preserve">New Zealand Guidelines Group. (2012). </w:t>
      </w:r>
      <w:r w:rsidRPr="00EA3E2E">
        <w:rPr>
          <w:rFonts w:asciiTheme="minorHAnsi" w:hAnsiTheme="minorHAnsi" w:cstheme="minorHAnsi"/>
          <w:i/>
          <w:sz w:val="22"/>
          <w:szCs w:val="22"/>
        </w:rPr>
        <w:t>New Zealand Primary Care Handbook 2012</w:t>
      </w:r>
      <w:r w:rsidR="00C362CB" w:rsidRPr="00EA3E2E">
        <w:rPr>
          <w:rFonts w:asciiTheme="minorHAnsi" w:hAnsiTheme="minorHAnsi" w:cstheme="minorHAnsi"/>
          <w:sz w:val="22"/>
          <w:szCs w:val="22"/>
        </w:rPr>
        <w:t>. [3</w:t>
      </w:r>
      <w:r w:rsidR="00C362CB" w:rsidRPr="00EA3E2E">
        <w:rPr>
          <w:rFonts w:asciiTheme="minorHAnsi" w:hAnsiTheme="minorHAnsi" w:cstheme="minorHAnsi"/>
          <w:sz w:val="22"/>
          <w:szCs w:val="22"/>
          <w:vertAlign w:val="superscript"/>
        </w:rPr>
        <w:t>rd</w:t>
      </w:r>
      <w:r w:rsidR="00C362CB" w:rsidRPr="00EA3E2E">
        <w:rPr>
          <w:rFonts w:asciiTheme="minorHAnsi" w:hAnsiTheme="minorHAnsi" w:cstheme="minorHAnsi"/>
          <w:sz w:val="22"/>
          <w:szCs w:val="22"/>
        </w:rPr>
        <w:t xml:space="preserve"> ed]</w:t>
      </w:r>
      <w:r w:rsidRPr="00EA3E2E">
        <w:rPr>
          <w:rFonts w:asciiTheme="minorHAnsi" w:hAnsiTheme="minorHAnsi" w:cstheme="minorHAnsi"/>
          <w:sz w:val="22"/>
          <w:szCs w:val="22"/>
        </w:rPr>
        <w:t>. Wellington: New Zealand Guidelines Group.</w:t>
      </w:r>
    </w:p>
    <w:p w:rsidR="001C0E0F" w:rsidRPr="00EA3E2E" w:rsidRDefault="001C0E0F" w:rsidP="005C6335">
      <w:pPr>
        <w:pStyle w:val="ecxmsonormal"/>
        <w:shd w:val="clear" w:color="auto" w:fill="FFFFFF"/>
        <w:spacing w:after="0"/>
        <w:jc w:val="both"/>
        <w:rPr>
          <w:rFonts w:asciiTheme="minorHAnsi" w:hAnsiTheme="minorHAnsi" w:cstheme="minorHAnsi"/>
          <w:sz w:val="22"/>
          <w:szCs w:val="22"/>
          <w:lang w:val="en-US"/>
        </w:rPr>
      </w:pPr>
    </w:p>
    <w:p w:rsidR="005C6335" w:rsidRPr="00EA3E2E" w:rsidRDefault="005C6335" w:rsidP="005C6335">
      <w:pPr>
        <w:pStyle w:val="ecxmsonormal"/>
        <w:shd w:val="clear" w:color="auto" w:fill="FFFFFF"/>
        <w:spacing w:after="0"/>
        <w:jc w:val="both"/>
        <w:rPr>
          <w:rFonts w:asciiTheme="minorHAnsi" w:hAnsiTheme="minorHAnsi" w:cstheme="minorHAnsi"/>
          <w:sz w:val="22"/>
          <w:szCs w:val="22"/>
          <w:lang w:val="en-US"/>
        </w:rPr>
      </w:pPr>
      <w:r w:rsidRPr="00EA3E2E">
        <w:rPr>
          <w:rFonts w:asciiTheme="minorHAnsi" w:hAnsiTheme="minorHAnsi" w:cstheme="minorHAnsi"/>
          <w:sz w:val="22"/>
          <w:szCs w:val="22"/>
        </w:rPr>
        <w:t xml:space="preserve">Robson B, Harris R. (eds). (2007). </w:t>
      </w:r>
      <w:r w:rsidRPr="00EA3E2E">
        <w:rPr>
          <w:rFonts w:asciiTheme="minorHAnsi" w:hAnsiTheme="minorHAnsi" w:cstheme="minorHAnsi"/>
          <w:i/>
          <w:sz w:val="22"/>
          <w:szCs w:val="22"/>
        </w:rPr>
        <w:t xml:space="preserve">Hauora: Māori standards of Health IV. A study of the years 2000-2005. </w:t>
      </w:r>
      <w:r w:rsidRPr="00EA3E2E">
        <w:rPr>
          <w:rFonts w:asciiTheme="minorHAnsi" w:hAnsiTheme="minorHAnsi" w:cstheme="minorHAnsi"/>
          <w:sz w:val="22"/>
          <w:szCs w:val="22"/>
        </w:rPr>
        <w:t>Wellington: Te Roopu Rangahau Hauora a Eru Pomare</w:t>
      </w:r>
    </w:p>
    <w:p w:rsidR="00FF6EA4" w:rsidRDefault="005C6335" w:rsidP="005C6335">
      <w:pPr>
        <w:spacing w:before="100" w:beforeAutospacing="1" w:after="100" w:afterAutospacing="1"/>
        <w:jc w:val="both"/>
        <w:rPr>
          <w:rFonts w:asciiTheme="minorHAnsi" w:hAnsiTheme="minorHAnsi" w:cstheme="minorHAnsi"/>
          <w:sz w:val="22"/>
          <w:szCs w:val="22"/>
          <w:shd w:val="clear" w:color="auto" w:fill="FFFFFF"/>
        </w:rPr>
      </w:pPr>
      <w:r w:rsidRPr="00EA3E2E">
        <w:rPr>
          <w:rFonts w:asciiTheme="minorHAnsi" w:hAnsiTheme="minorHAnsi" w:cstheme="minorHAnsi"/>
          <w:sz w:val="22"/>
          <w:szCs w:val="22"/>
          <w:shd w:val="clear" w:color="auto" w:fill="FFFFFF"/>
        </w:rPr>
        <w:t xml:space="preserve">Robson B, Koopu P, Gilmour J, Rameka R, Stuart K, Simmonds S, Purdie G, Davies C, Paine S-J. (2011). </w:t>
      </w:r>
      <w:r w:rsidRPr="00EA3E2E">
        <w:rPr>
          <w:rFonts w:asciiTheme="minorHAnsi" w:hAnsiTheme="minorHAnsi" w:cstheme="minorHAnsi"/>
          <w:i/>
          <w:sz w:val="22"/>
          <w:szCs w:val="22"/>
          <w:shd w:val="clear" w:color="auto" w:fill="FFFFFF"/>
        </w:rPr>
        <w:t>Oranga Waha – Oral Health Research Priorities for Māori: low-income adults, kaumātua, and Māori with disabilities, special needs and chronic health conditions.</w:t>
      </w:r>
      <w:r w:rsidRPr="00EA3E2E">
        <w:rPr>
          <w:rFonts w:asciiTheme="minorHAnsi" w:hAnsiTheme="minorHAnsi" w:cstheme="minorHAnsi"/>
          <w:sz w:val="22"/>
          <w:szCs w:val="22"/>
          <w:shd w:val="clear" w:color="auto" w:fill="FFFFFF"/>
        </w:rPr>
        <w:t xml:space="preserve"> Wellington: Te Rōpū Rangahau Hauora a Eru Pōmare.</w:t>
      </w:r>
      <w:r w:rsidR="00FF6EA4">
        <w:rPr>
          <w:rFonts w:asciiTheme="minorHAnsi" w:hAnsiTheme="minorHAnsi" w:cstheme="minorHAnsi"/>
          <w:sz w:val="22"/>
          <w:szCs w:val="22"/>
          <w:shd w:val="clear" w:color="auto" w:fill="FFFFFF"/>
        </w:rPr>
        <w:t xml:space="preserve"> </w:t>
      </w:r>
    </w:p>
    <w:p w:rsidR="00B30B57" w:rsidRDefault="00FF6EA4" w:rsidP="005C6335">
      <w:pPr>
        <w:spacing w:before="100" w:beforeAutospacing="1" w:after="100" w:afterAutospacing="1"/>
        <w:jc w:val="both"/>
        <w:rPr>
          <w:rFonts w:asciiTheme="minorHAnsi" w:hAnsiTheme="minorHAnsi" w:cstheme="minorHAnsi"/>
          <w:sz w:val="22"/>
          <w:szCs w:val="22"/>
        </w:rPr>
      </w:pPr>
      <w:r>
        <w:rPr>
          <w:rFonts w:asciiTheme="minorHAnsi" w:hAnsiTheme="minorHAnsi" w:cstheme="minorHAnsi"/>
          <w:sz w:val="22"/>
          <w:szCs w:val="22"/>
          <w:shd w:val="clear" w:color="auto" w:fill="FFFFFF"/>
        </w:rPr>
        <w:t xml:space="preserve">Robson B., Purdie G., Cormack D. (2005). Unequal Impact: Māori and non-Māori Cancer Statistics 1996-2001. Wellington: Ministry of Health. </w:t>
      </w:r>
      <w:r w:rsidR="005C6335" w:rsidRPr="00EA3E2E">
        <w:rPr>
          <w:rFonts w:asciiTheme="minorHAnsi" w:hAnsiTheme="minorHAnsi" w:cstheme="minorHAnsi"/>
          <w:sz w:val="22"/>
          <w:szCs w:val="22"/>
        </w:rPr>
        <w:t xml:space="preserve"> </w:t>
      </w:r>
    </w:p>
    <w:p w:rsidR="005C6335" w:rsidRDefault="00B30B57" w:rsidP="005C6335">
      <w:pPr>
        <w:spacing w:before="100" w:beforeAutospacing="1" w:after="100" w:afterAutospacing="1"/>
        <w:jc w:val="both"/>
        <w:rPr>
          <w:rFonts w:asciiTheme="minorHAnsi" w:hAnsiTheme="minorHAnsi" w:cstheme="minorHAnsi"/>
          <w:sz w:val="22"/>
          <w:szCs w:val="22"/>
        </w:rPr>
      </w:pPr>
      <w:r>
        <w:rPr>
          <w:rFonts w:asciiTheme="minorHAnsi" w:hAnsiTheme="minorHAnsi" w:cstheme="minorHAnsi"/>
          <w:sz w:val="22"/>
          <w:szCs w:val="22"/>
        </w:rPr>
        <w:t xml:space="preserve">Rodriguez T., Altieri A., Chatenoud L et al. (2004). Risk factors for oral and pharyngeal cancer in young adults. </w:t>
      </w:r>
      <w:r w:rsidRPr="00B30B57">
        <w:rPr>
          <w:rFonts w:asciiTheme="minorHAnsi" w:hAnsiTheme="minorHAnsi" w:cstheme="minorHAnsi"/>
          <w:i/>
          <w:sz w:val="22"/>
          <w:szCs w:val="22"/>
        </w:rPr>
        <w:t>Oral Oncol.</w:t>
      </w:r>
      <w:r>
        <w:rPr>
          <w:rFonts w:asciiTheme="minorHAnsi" w:hAnsiTheme="minorHAnsi" w:cstheme="minorHAnsi"/>
          <w:sz w:val="22"/>
          <w:szCs w:val="22"/>
        </w:rPr>
        <w:t xml:space="preserve"> 40(2):207-13.</w:t>
      </w:r>
    </w:p>
    <w:p w:rsidR="005C6335" w:rsidRPr="00EA3E2E" w:rsidRDefault="005C6335" w:rsidP="005C6335">
      <w:pPr>
        <w:pStyle w:val="ecxmsonormal"/>
        <w:shd w:val="clear" w:color="auto" w:fill="FFFFFF"/>
        <w:spacing w:after="0"/>
        <w:jc w:val="both"/>
        <w:rPr>
          <w:rFonts w:asciiTheme="minorHAnsi" w:hAnsiTheme="minorHAnsi" w:cstheme="minorHAnsi"/>
          <w:sz w:val="22"/>
          <w:szCs w:val="22"/>
          <w:lang w:val="en-US"/>
        </w:rPr>
      </w:pPr>
      <w:r w:rsidRPr="00EA3E2E">
        <w:rPr>
          <w:rFonts w:asciiTheme="minorHAnsi" w:hAnsiTheme="minorHAnsi" w:cstheme="minorHAnsi"/>
          <w:sz w:val="22"/>
          <w:szCs w:val="22"/>
          <w:lang w:val="en-US"/>
        </w:rPr>
        <w:t xml:space="preserve">Rosseel JP, Jacobs JE, Hilberink SR, Maassen IM, Segaar D, Plasschaert AJM, Grol RPTM. (2011).  Summary of: Experienced barriers and facilitators of integrating smoking cessation advice and support into daily dental practice. </w:t>
      </w:r>
      <w:r w:rsidRPr="00EA3E2E">
        <w:rPr>
          <w:rFonts w:asciiTheme="minorHAnsi" w:hAnsiTheme="minorHAnsi" w:cstheme="minorHAnsi"/>
          <w:i/>
          <w:sz w:val="22"/>
          <w:szCs w:val="22"/>
          <w:lang w:val="en-US"/>
        </w:rPr>
        <w:t xml:space="preserve">British Dental Journal. </w:t>
      </w:r>
      <w:r w:rsidR="00C362CB" w:rsidRPr="00EA3E2E">
        <w:rPr>
          <w:rFonts w:asciiTheme="minorHAnsi" w:hAnsiTheme="minorHAnsi" w:cstheme="minorHAnsi"/>
          <w:sz w:val="22"/>
          <w:szCs w:val="22"/>
          <w:lang w:val="en-US"/>
        </w:rPr>
        <w:t>210(7):</w:t>
      </w:r>
      <w:r w:rsidRPr="00EA3E2E">
        <w:rPr>
          <w:rFonts w:asciiTheme="minorHAnsi" w:hAnsiTheme="minorHAnsi" w:cstheme="minorHAnsi"/>
          <w:sz w:val="22"/>
          <w:szCs w:val="22"/>
          <w:lang w:val="en-US"/>
        </w:rPr>
        <w:t>312-313.</w:t>
      </w:r>
    </w:p>
    <w:p w:rsidR="00EF3F60" w:rsidRPr="00EA3E2E" w:rsidRDefault="00EF3F60" w:rsidP="00EF3F60">
      <w:pPr>
        <w:pStyle w:val="ecxmsonormal"/>
        <w:shd w:val="clear" w:color="auto" w:fill="FFFFFF"/>
        <w:spacing w:before="100" w:beforeAutospacing="1" w:after="100" w:afterAutospacing="1"/>
        <w:jc w:val="both"/>
        <w:rPr>
          <w:rFonts w:asciiTheme="minorHAnsi" w:eastAsia="Arial Unicode MS" w:hAnsiTheme="minorHAnsi" w:cstheme="minorHAnsi"/>
          <w:sz w:val="22"/>
          <w:szCs w:val="22"/>
          <w:lang w:val="en-US"/>
        </w:rPr>
      </w:pPr>
      <w:r w:rsidRPr="00EA3E2E">
        <w:rPr>
          <w:rFonts w:asciiTheme="minorHAnsi" w:eastAsia="Arial Unicode MS" w:hAnsiTheme="minorHAnsi" w:cstheme="minorHAnsi"/>
          <w:sz w:val="22"/>
          <w:szCs w:val="22"/>
          <w:lang w:val="en-US"/>
        </w:rPr>
        <w:lastRenderedPageBreak/>
        <w:t xml:space="preserve">Sharpe, N. (2011). Rheumatic Fever in Māori: What can we do better? </w:t>
      </w:r>
      <w:r w:rsidRPr="00EA3E2E">
        <w:rPr>
          <w:rFonts w:asciiTheme="minorHAnsi" w:eastAsia="Arial Unicode MS" w:hAnsiTheme="minorHAnsi" w:cstheme="minorHAnsi"/>
          <w:i/>
          <w:sz w:val="22"/>
          <w:szCs w:val="22"/>
          <w:lang w:val="en-US"/>
        </w:rPr>
        <w:t>Best Practice Journal.</w:t>
      </w:r>
      <w:r w:rsidR="00C362CB" w:rsidRPr="00EA3E2E">
        <w:rPr>
          <w:rFonts w:asciiTheme="minorHAnsi" w:eastAsia="Arial Unicode MS" w:hAnsiTheme="minorHAnsi" w:cstheme="minorHAnsi"/>
          <w:sz w:val="22"/>
          <w:szCs w:val="22"/>
          <w:lang w:val="en-US"/>
        </w:rPr>
        <w:t xml:space="preserve"> </w:t>
      </w:r>
      <w:r w:rsidRPr="00EA3E2E">
        <w:rPr>
          <w:rFonts w:asciiTheme="minorHAnsi" w:eastAsia="Arial Unicode MS" w:hAnsiTheme="minorHAnsi" w:cstheme="minorHAnsi"/>
          <w:sz w:val="22"/>
          <w:szCs w:val="22"/>
          <w:lang w:val="en-US"/>
        </w:rPr>
        <w:t>37:22-28.</w:t>
      </w:r>
    </w:p>
    <w:p w:rsidR="0017504A" w:rsidRPr="00EA3E2E" w:rsidRDefault="002D45D4">
      <w:pPr>
        <w:autoSpaceDE w:val="0"/>
        <w:autoSpaceDN w:val="0"/>
        <w:adjustRightInd w:val="0"/>
        <w:spacing w:before="100" w:beforeAutospacing="1" w:after="100" w:afterAutospacing="1"/>
        <w:jc w:val="both"/>
        <w:rPr>
          <w:rFonts w:asciiTheme="minorHAnsi" w:eastAsia="Calibri" w:hAnsiTheme="minorHAnsi" w:cstheme="minorHAnsi"/>
          <w:sz w:val="22"/>
          <w:szCs w:val="22"/>
          <w:lang w:eastAsia="en-NZ"/>
        </w:rPr>
      </w:pPr>
      <w:r w:rsidRPr="00EA3E2E">
        <w:rPr>
          <w:rFonts w:asciiTheme="minorHAnsi" w:eastAsia="Calibri" w:hAnsiTheme="minorHAnsi" w:cstheme="minorHAnsi"/>
          <w:sz w:val="22"/>
          <w:szCs w:val="22"/>
          <w:lang w:eastAsia="en-NZ"/>
        </w:rPr>
        <w:t xml:space="preserve">The Heart Foundation. (2006). </w:t>
      </w:r>
      <w:r w:rsidRPr="00EA3E2E">
        <w:rPr>
          <w:rFonts w:asciiTheme="minorHAnsi" w:eastAsia="Calibri" w:hAnsiTheme="minorHAnsi" w:cstheme="minorHAnsi"/>
          <w:i/>
          <w:sz w:val="22"/>
          <w:szCs w:val="22"/>
          <w:lang w:eastAsia="en-NZ"/>
        </w:rPr>
        <w:t>New Zealand Guidelines for Rheumatic Fever – 1. Diagnosis, management and secondary prevention</w:t>
      </w:r>
      <w:r w:rsidR="00EF3F60" w:rsidRPr="00EA3E2E">
        <w:rPr>
          <w:rFonts w:asciiTheme="minorHAnsi" w:eastAsia="Calibri" w:hAnsiTheme="minorHAnsi" w:cstheme="minorHAnsi"/>
          <w:sz w:val="22"/>
          <w:szCs w:val="22"/>
          <w:lang w:eastAsia="en-NZ"/>
        </w:rPr>
        <w:t xml:space="preserve">. </w:t>
      </w:r>
      <w:r w:rsidRPr="00EA3E2E">
        <w:rPr>
          <w:rFonts w:asciiTheme="minorHAnsi" w:eastAsia="Calibri" w:hAnsiTheme="minorHAnsi" w:cstheme="minorHAnsi"/>
          <w:sz w:val="22"/>
          <w:szCs w:val="22"/>
          <w:lang w:eastAsia="en-NZ"/>
        </w:rPr>
        <w:t>Auckland: The Heart Foundation.</w:t>
      </w:r>
    </w:p>
    <w:p w:rsidR="0017504A" w:rsidRPr="00EA3E2E" w:rsidRDefault="002D45D4">
      <w:pPr>
        <w:autoSpaceDE w:val="0"/>
        <w:autoSpaceDN w:val="0"/>
        <w:adjustRightInd w:val="0"/>
        <w:spacing w:before="100" w:beforeAutospacing="1" w:after="100" w:afterAutospacing="1"/>
        <w:jc w:val="both"/>
        <w:rPr>
          <w:rFonts w:asciiTheme="minorHAnsi" w:eastAsia="Calibri" w:hAnsiTheme="minorHAnsi" w:cstheme="minorHAnsi"/>
          <w:sz w:val="22"/>
          <w:szCs w:val="22"/>
          <w:lang w:eastAsia="en-NZ"/>
        </w:rPr>
      </w:pPr>
      <w:r w:rsidRPr="00EA3E2E">
        <w:rPr>
          <w:rFonts w:asciiTheme="minorHAnsi" w:eastAsia="Calibri" w:hAnsiTheme="minorHAnsi" w:cstheme="minorHAnsi"/>
          <w:sz w:val="22"/>
          <w:szCs w:val="22"/>
          <w:lang w:eastAsia="en-NZ"/>
        </w:rPr>
        <w:t xml:space="preserve">The Heart Foundation. </w:t>
      </w:r>
      <w:r w:rsidR="00CE609A" w:rsidRPr="00EA3E2E">
        <w:rPr>
          <w:rFonts w:asciiTheme="minorHAnsi" w:eastAsia="Calibri" w:hAnsiTheme="minorHAnsi" w:cstheme="minorHAnsi"/>
          <w:sz w:val="22"/>
          <w:szCs w:val="22"/>
          <w:lang w:eastAsia="en-NZ"/>
        </w:rPr>
        <w:t xml:space="preserve">(2008). </w:t>
      </w:r>
      <w:r w:rsidRPr="00EA3E2E">
        <w:rPr>
          <w:rFonts w:asciiTheme="minorHAnsi" w:eastAsia="Calibri" w:hAnsiTheme="minorHAnsi" w:cstheme="minorHAnsi"/>
          <w:i/>
          <w:sz w:val="22"/>
          <w:szCs w:val="22"/>
          <w:lang w:eastAsia="en-NZ"/>
        </w:rPr>
        <w:t>New Zealand Guidelines for Rheumatic Fever – 2. Sore throat management</w:t>
      </w:r>
      <w:r w:rsidR="00CE609A" w:rsidRPr="00EA3E2E">
        <w:rPr>
          <w:rFonts w:asciiTheme="minorHAnsi" w:eastAsia="Calibri" w:hAnsiTheme="minorHAnsi" w:cstheme="minorHAnsi"/>
          <w:sz w:val="22"/>
          <w:szCs w:val="22"/>
          <w:lang w:eastAsia="en-NZ"/>
        </w:rPr>
        <w:t>. Auckland: The Heart Foundation.</w:t>
      </w:r>
      <w:r w:rsidRPr="00EA3E2E">
        <w:rPr>
          <w:rFonts w:asciiTheme="minorHAnsi" w:eastAsia="Calibri" w:hAnsiTheme="minorHAnsi" w:cstheme="minorHAnsi"/>
          <w:sz w:val="22"/>
          <w:szCs w:val="22"/>
          <w:lang w:eastAsia="en-NZ"/>
        </w:rPr>
        <w:t xml:space="preserve"> </w:t>
      </w:r>
    </w:p>
    <w:p w:rsidR="00C242D1" w:rsidRPr="00EA3E2E" w:rsidRDefault="002D45D4" w:rsidP="00C242D1">
      <w:pPr>
        <w:pStyle w:val="ecxmsonormal"/>
        <w:shd w:val="clear" w:color="auto" w:fill="FFFFFF"/>
        <w:spacing w:before="100" w:beforeAutospacing="1" w:after="100" w:afterAutospacing="1"/>
        <w:jc w:val="both"/>
        <w:rPr>
          <w:rFonts w:asciiTheme="minorHAnsi" w:eastAsia="Calibri" w:hAnsiTheme="minorHAnsi" w:cstheme="minorHAnsi"/>
          <w:sz w:val="22"/>
          <w:szCs w:val="22"/>
        </w:rPr>
      </w:pPr>
      <w:r w:rsidRPr="00EA3E2E">
        <w:rPr>
          <w:rFonts w:asciiTheme="minorHAnsi" w:eastAsia="Calibri" w:hAnsiTheme="minorHAnsi" w:cstheme="minorHAnsi"/>
          <w:sz w:val="22"/>
          <w:szCs w:val="22"/>
        </w:rPr>
        <w:t>The Heart Foundation.</w:t>
      </w:r>
      <w:r w:rsidR="00CE609A" w:rsidRPr="00EA3E2E">
        <w:rPr>
          <w:rFonts w:asciiTheme="minorHAnsi" w:eastAsia="Calibri" w:hAnsiTheme="minorHAnsi" w:cstheme="minorHAnsi"/>
          <w:sz w:val="22"/>
          <w:szCs w:val="22"/>
        </w:rPr>
        <w:t xml:space="preserve"> (2009). </w:t>
      </w:r>
      <w:r w:rsidRPr="00EA3E2E">
        <w:rPr>
          <w:rFonts w:asciiTheme="minorHAnsi" w:eastAsia="Calibri" w:hAnsiTheme="minorHAnsi" w:cstheme="minorHAnsi"/>
          <w:sz w:val="22"/>
          <w:szCs w:val="22"/>
        </w:rPr>
        <w:t xml:space="preserve"> </w:t>
      </w:r>
      <w:r w:rsidRPr="00EA3E2E">
        <w:rPr>
          <w:rFonts w:asciiTheme="minorHAnsi" w:eastAsia="Calibri" w:hAnsiTheme="minorHAnsi" w:cstheme="minorHAnsi"/>
          <w:i/>
          <w:sz w:val="22"/>
          <w:szCs w:val="22"/>
        </w:rPr>
        <w:t>New Zealand Guidelines for Rheumatic Fever – 3. Proposed rheumatic fever primary prevention programme</w:t>
      </w:r>
      <w:r w:rsidR="00CE609A" w:rsidRPr="00EA3E2E">
        <w:rPr>
          <w:rFonts w:asciiTheme="minorHAnsi" w:eastAsia="Calibri" w:hAnsiTheme="minorHAnsi" w:cstheme="minorHAnsi"/>
          <w:sz w:val="22"/>
          <w:szCs w:val="22"/>
        </w:rPr>
        <w:t>. Auckland: The Heart Foundation</w:t>
      </w:r>
      <w:r w:rsidRPr="00EA3E2E">
        <w:rPr>
          <w:rFonts w:asciiTheme="minorHAnsi" w:eastAsia="Calibri" w:hAnsiTheme="minorHAnsi" w:cstheme="minorHAnsi"/>
          <w:sz w:val="22"/>
          <w:szCs w:val="22"/>
        </w:rPr>
        <w:t>.</w:t>
      </w:r>
    </w:p>
    <w:p w:rsidR="0017504A" w:rsidRDefault="00C87527" w:rsidP="00C242D1">
      <w:pPr>
        <w:pStyle w:val="ecxmsonormal"/>
        <w:shd w:val="clear" w:color="auto" w:fill="FFFFFF"/>
        <w:spacing w:before="100" w:beforeAutospacing="1" w:after="100" w:afterAutospacing="1"/>
        <w:jc w:val="both"/>
        <w:rPr>
          <w:rFonts w:asciiTheme="minorHAnsi" w:hAnsiTheme="minorHAnsi" w:cstheme="minorHAnsi"/>
          <w:sz w:val="22"/>
          <w:szCs w:val="22"/>
          <w:lang w:val="en-US"/>
        </w:rPr>
      </w:pPr>
      <w:r w:rsidRPr="00EA3E2E">
        <w:rPr>
          <w:rFonts w:asciiTheme="minorHAnsi" w:hAnsiTheme="minorHAnsi" w:cstheme="minorHAnsi"/>
          <w:sz w:val="22"/>
          <w:szCs w:val="22"/>
          <w:lang w:val="en-US"/>
        </w:rPr>
        <w:t xml:space="preserve">World Health Organisation. (2012). </w:t>
      </w:r>
      <w:r w:rsidRPr="00EA3E2E">
        <w:rPr>
          <w:rFonts w:asciiTheme="minorHAnsi" w:hAnsiTheme="minorHAnsi" w:cstheme="minorHAnsi"/>
          <w:i/>
          <w:sz w:val="22"/>
          <w:szCs w:val="22"/>
          <w:lang w:val="en-US"/>
        </w:rPr>
        <w:t>Oral Health Priority Action Areas</w:t>
      </w:r>
      <w:r w:rsidRPr="00EA3E2E">
        <w:rPr>
          <w:rFonts w:asciiTheme="minorHAnsi" w:hAnsiTheme="minorHAnsi" w:cstheme="minorHAnsi"/>
          <w:sz w:val="22"/>
          <w:szCs w:val="22"/>
          <w:lang w:val="en-US"/>
        </w:rPr>
        <w:t xml:space="preserve"> [online].  Available from: </w:t>
      </w:r>
      <w:hyperlink r:id="rId25" w:tgtFrame="_blank" w:history="1">
        <w:r w:rsidRPr="00EA3E2E">
          <w:rPr>
            <w:rStyle w:val="Hyperlink"/>
            <w:rFonts w:asciiTheme="minorHAnsi" w:hAnsiTheme="minorHAnsi" w:cstheme="minorHAnsi"/>
            <w:color w:val="auto"/>
            <w:sz w:val="22"/>
            <w:szCs w:val="22"/>
            <w:lang w:val="en-US"/>
          </w:rPr>
          <w:t>http://www.who.int/oral_health/action/risks/en/index2/.html</w:t>
        </w:r>
      </w:hyperlink>
      <w:r w:rsidRPr="00EA3E2E">
        <w:rPr>
          <w:rFonts w:asciiTheme="minorHAnsi" w:hAnsiTheme="minorHAnsi" w:cstheme="minorHAnsi"/>
          <w:sz w:val="22"/>
          <w:szCs w:val="22"/>
          <w:lang w:val="en-US"/>
        </w:rPr>
        <w:t>. Accessed 1 May 2013.</w:t>
      </w:r>
    </w:p>
    <w:p w:rsidR="00F8742A" w:rsidRPr="00C37D18" w:rsidRDefault="00F8742A" w:rsidP="00F8742A">
      <w:pPr>
        <w:pStyle w:val="EndNoteBibliography"/>
      </w:pPr>
    </w:p>
    <w:p w:rsidR="0017504A" w:rsidRDefault="002D45D4" w:rsidP="0036356E">
      <w:pPr>
        <w:pStyle w:val="Heading1"/>
        <w:rPr>
          <w:sz w:val="23"/>
          <w:szCs w:val="23"/>
        </w:rPr>
      </w:pPr>
      <w:bookmarkStart w:id="34" w:name="_Toc213398468"/>
      <w:bookmarkEnd w:id="3"/>
      <w:bookmarkEnd w:id="4"/>
      <w:bookmarkEnd w:id="5"/>
      <w:bookmarkEnd w:id="6"/>
      <w:bookmarkEnd w:id="7"/>
      <w:bookmarkEnd w:id="8"/>
      <w:r w:rsidRPr="005F0AA6">
        <w:br w:type="page"/>
      </w:r>
      <w:bookmarkStart w:id="35" w:name="_Toc473485936"/>
      <w:r w:rsidRPr="005F0AA6">
        <w:lastRenderedPageBreak/>
        <w:t>APPENDI</w:t>
      </w:r>
      <w:r w:rsidR="00DD1DAF">
        <w:t>X</w:t>
      </w:r>
      <w:r w:rsidR="00E978DA">
        <w:t xml:space="preserve"> </w:t>
      </w:r>
      <w:r w:rsidR="00DD1DAF">
        <w:t xml:space="preserve">1: </w:t>
      </w:r>
      <w:r w:rsidR="00EA3E2E">
        <w:br/>
      </w:r>
      <w:r w:rsidR="005C6335">
        <w:t xml:space="preserve">QUALITY IMPROVEMENT GROUP FOR </w:t>
      </w:r>
      <w:r w:rsidR="00EA3E2E">
        <w:br/>
      </w:r>
      <w:r w:rsidR="00E85EC6">
        <w:t>MĀORI</w:t>
      </w:r>
      <w:r w:rsidR="005C6335">
        <w:t xml:space="preserve"> ORAL HEALTH PROVIDERS</w:t>
      </w:r>
      <w:bookmarkEnd w:id="35"/>
    </w:p>
    <w:bookmarkEnd w:id="34"/>
    <w:p w:rsidR="00431E52" w:rsidRPr="005F0AA6" w:rsidRDefault="00261815" w:rsidP="00C37D18">
      <w:pPr>
        <w:pStyle w:val="generalparagraph"/>
      </w:pPr>
      <w:r>
        <w:t xml:space="preserve">The Quality Improvement Group for </w:t>
      </w:r>
      <w:r w:rsidR="00E85EC6">
        <w:t>Māori</w:t>
      </w:r>
      <w:r>
        <w:t xml:space="preserve"> oral health providers</w:t>
      </w:r>
      <w:r w:rsidR="00431E52" w:rsidRPr="005F0AA6">
        <w:t xml:space="preserve"> comprises representation from the </w:t>
      </w:r>
      <w:r w:rsidR="00431E52">
        <w:t>Māori</w:t>
      </w:r>
      <w:r w:rsidR="00431E52" w:rsidRPr="005F0AA6">
        <w:t xml:space="preserve"> oral</w:t>
      </w:r>
      <w:r>
        <w:t xml:space="preserve"> health provider sector. QIG members are </w:t>
      </w:r>
      <w:r w:rsidR="00431E52" w:rsidRPr="005F0AA6">
        <w:t>appointed by the Executive Leadership Tea</w:t>
      </w:r>
      <w:r w:rsidR="00775074">
        <w:t>m of the Ministry</w:t>
      </w:r>
      <w:r w:rsidR="00431E52" w:rsidRPr="005F0AA6">
        <w:t xml:space="preserve"> of Health’s </w:t>
      </w:r>
      <w:r w:rsidR="00431E52">
        <w:t>Māori</w:t>
      </w:r>
      <w:r w:rsidR="00431E52" w:rsidRPr="005F0AA6">
        <w:t xml:space="preserve"> Health Business Unit. </w:t>
      </w:r>
      <w:r w:rsidR="00C37D18">
        <w:t xml:space="preserve"> </w:t>
      </w:r>
    </w:p>
    <w:p w:rsidR="00431E52" w:rsidRPr="00261815" w:rsidRDefault="003F178C" w:rsidP="00DA6437">
      <w:pPr>
        <w:pStyle w:val="generalsubheading"/>
      </w:pPr>
      <w:bookmarkStart w:id="36" w:name="_Toc473485937"/>
      <w:r w:rsidRPr="00261815">
        <w:t>QIG MEMBERSHIP</w:t>
      </w:r>
      <w:bookmarkEnd w:id="36"/>
    </w:p>
    <w:p w:rsidR="00431E52" w:rsidRPr="00EA3E2E" w:rsidRDefault="00431E52" w:rsidP="00431E52">
      <w:pPr>
        <w:rPr>
          <w:rFonts w:asciiTheme="minorHAnsi" w:eastAsia="Arial Unicode MS" w:hAnsiTheme="minorHAnsi" w:cstheme="minorHAnsi"/>
          <w:b/>
          <w:sz w:val="22"/>
          <w:szCs w:val="22"/>
        </w:rPr>
      </w:pPr>
    </w:p>
    <w:tbl>
      <w:tblPr>
        <w:tblStyle w:val="TableGrid"/>
        <w:tblW w:w="0" w:type="auto"/>
        <w:tblLook w:val="04A0" w:firstRow="1" w:lastRow="0" w:firstColumn="1" w:lastColumn="0" w:noHBand="0" w:noVBand="1"/>
      </w:tblPr>
      <w:tblGrid>
        <w:gridCol w:w="4264"/>
        <w:gridCol w:w="4775"/>
      </w:tblGrid>
      <w:tr w:rsidR="00EA3E2E" w:rsidRPr="00EA3E2E" w:rsidTr="0003585F">
        <w:tc>
          <w:tcPr>
            <w:tcW w:w="4264" w:type="dxa"/>
            <w:tcBorders>
              <w:top w:val="single" w:sz="4" w:space="0" w:color="42D0B8"/>
              <w:left w:val="single" w:sz="4" w:space="0" w:color="42D0B8"/>
              <w:bottom w:val="single" w:sz="4" w:space="0" w:color="42D0B8"/>
              <w:right w:val="single" w:sz="4" w:space="0" w:color="42D0B8"/>
            </w:tcBorders>
            <w:shd w:val="clear" w:color="auto" w:fill="42D0B8"/>
          </w:tcPr>
          <w:p w:rsidR="00431E52" w:rsidRPr="00EA3E2E" w:rsidRDefault="00EA3E2E" w:rsidP="00EA3E2E">
            <w:pPr>
              <w:spacing w:before="120" w:after="120"/>
              <w:rPr>
                <w:rFonts w:asciiTheme="minorHAnsi" w:eastAsia="Arial Unicode MS" w:hAnsiTheme="minorHAnsi" w:cstheme="minorHAnsi"/>
                <w:b/>
                <w:color w:val="FFFFFF" w:themeColor="background1"/>
                <w:sz w:val="22"/>
                <w:szCs w:val="22"/>
              </w:rPr>
            </w:pPr>
            <w:r w:rsidRPr="00EA3E2E">
              <w:rPr>
                <w:rFonts w:asciiTheme="minorHAnsi" w:eastAsia="Arial Unicode MS" w:hAnsiTheme="minorHAnsi" w:cstheme="minorHAnsi"/>
                <w:b/>
                <w:color w:val="FFFFFF" w:themeColor="background1"/>
                <w:sz w:val="22"/>
                <w:szCs w:val="22"/>
              </w:rPr>
              <w:t>QIG MEMBERSHIP</w:t>
            </w:r>
          </w:p>
        </w:tc>
        <w:tc>
          <w:tcPr>
            <w:tcW w:w="4775" w:type="dxa"/>
            <w:tcBorders>
              <w:top w:val="single" w:sz="4" w:space="0" w:color="42D0B8"/>
              <w:left w:val="single" w:sz="4" w:space="0" w:color="42D0B8"/>
              <w:bottom w:val="single" w:sz="4" w:space="0" w:color="42D0B8"/>
              <w:right w:val="single" w:sz="4" w:space="0" w:color="42D0B8"/>
            </w:tcBorders>
            <w:shd w:val="clear" w:color="auto" w:fill="42D0B8"/>
          </w:tcPr>
          <w:p w:rsidR="00431E52" w:rsidRPr="00EA3E2E" w:rsidRDefault="00EA3E2E" w:rsidP="00EA3E2E">
            <w:pPr>
              <w:spacing w:before="120" w:after="120"/>
              <w:rPr>
                <w:rFonts w:asciiTheme="minorHAnsi" w:eastAsia="Arial Unicode MS" w:hAnsiTheme="minorHAnsi" w:cstheme="minorHAnsi"/>
                <w:b/>
                <w:color w:val="FFFFFF" w:themeColor="background1"/>
                <w:sz w:val="22"/>
                <w:szCs w:val="22"/>
              </w:rPr>
            </w:pPr>
            <w:r w:rsidRPr="00EA3E2E">
              <w:rPr>
                <w:rFonts w:asciiTheme="minorHAnsi" w:eastAsia="Arial Unicode MS" w:hAnsiTheme="minorHAnsi" w:cstheme="minorHAnsi"/>
                <w:b/>
                <w:color w:val="FFFFFF" w:themeColor="background1"/>
                <w:sz w:val="22"/>
                <w:szCs w:val="22"/>
              </w:rPr>
              <w:t xml:space="preserve">PROVIDER </w:t>
            </w:r>
          </w:p>
        </w:tc>
      </w:tr>
      <w:tr w:rsidR="00431E52" w:rsidRPr="00EA3E2E" w:rsidTr="0003585F">
        <w:tc>
          <w:tcPr>
            <w:tcW w:w="4264" w:type="dxa"/>
            <w:tcBorders>
              <w:top w:val="single" w:sz="4" w:space="0" w:color="42D0B8"/>
              <w:left w:val="single" w:sz="4" w:space="0" w:color="42D0B8"/>
              <w:bottom w:val="single" w:sz="4" w:space="0" w:color="42D0B8"/>
              <w:right w:val="single" w:sz="4" w:space="0" w:color="42D0B8"/>
            </w:tcBorders>
          </w:tcPr>
          <w:p w:rsidR="00431E52" w:rsidRPr="00EA3E2E" w:rsidRDefault="00431E52" w:rsidP="00EA3E2E">
            <w:pPr>
              <w:spacing w:before="120" w:after="120"/>
              <w:rPr>
                <w:rFonts w:asciiTheme="minorHAnsi" w:eastAsia="Arial Unicode MS" w:hAnsiTheme="minorHAnsi" w:cstheme="minorHAnsi"/>
                <w:sz w:val="22"/>
                <w:szCs w:val="22"/>
              </w:rPr>
            </w:pPr>
            <w:r w:rsidRPr="00EA3E2E">
              <w:rPr>
                <w:rFonts w:asciiTheme="minorHAnsi" w:eastAsia="Arial Unicode MS" w:hAnsiTheme="minorHAnsi" w:cstheme="minorHAnsi"/>
                <w:sz w:val="22"/>
                <w:szCs w:val="22"/>
              </w:rPr>
              <w:t>Justin Wall (Chair</w:t>
            </w:r>
            <w:r w:rsidR="000E6CB8" w:rsidRPr="00EA3E2E">
              <w:rPr>
                <w:rFonts w:asciiTheme="minorHAnsi" w:eastAsia="Arial Unicode MS" w:hAnsiTheme="minorHAnsi" w:cstheme="minorHAnsi"/>
                <w:sz w:val="22"/>
                <w:szCs w:val="22"/>
              </w:rPr>
              <w:t>*</w:t>
            </w:r>
            <w:r w:rsidRPr="00EA3E2E">
              <w:rPr>
                <w:rFonts w:asciiTheme="minorHAnsi" w:eastAsia="Arial Unicode MS" w:hAnsiTheme="minorHAnsi" w:cstheme="minorHAnsi"/>
                <w:sz w:val="22"/>
                <w:szCs w:val="22"/>
              </w:rPr>
              <w:t>)</w:t>
            </w:r>
          </w:p>
        </w:tc>
        <w:tc>
          <w:tcPr>
            <w:tcW w:w="4775" w:type="dxa"/>
            <w:tcBorders>
              <w:top w:val="single" w:sz="4" w:space="0" w:color="42D0B8"/>
              <w:left w:val="single" w:sz="4" w:space="0" w:color="42D0B8"/>
              <w:bottom w:val="single" w:sz="4" w:space="0" w:color="42D0B8"/>
              <w:right w:val="single" w:sz="4" w:space="0" w:color="42D0B8"/>
            </w:tcBorders>
          </w:tcPr>
          <w:p w:rsidR="00431E52" w:rsidRPr="00EA3E2E" w:rsidRDefault="00431E52" w:rsidP="00EA3E2E">
            <w:pPr>
              <w:spacing w:before="120" w:after="120"/>
              <w:rPr>
                <w:rFonts w:asciiTheme="minorHAnsi" w:eastAsia="Arial Unicode MS" w:hAnsiTheme="minorHAnsi" w:cstheme="minorHAnsi"/>
                <w:sz w:val="22"/>
                <w:szCs w:val="22"/>
              </w:rPr>
            </w:pPr>
            <w:r w:rsidRPr="00EA3E2E">
              <w:rPr>
                <w:rFonts w:asciiTheme="minorHAnsi" w:eastAsia="Arial Unicode MS" w:hAnsiTheme="minorHAnsi" w:cstheme="minorHAnsi"/>
                <w:sz w:val="22"/>
                <w:szCs w:val="22"/>
              </w:rPr>
              <w:t>Te Runanga o Toa Rangatira Inc, Porirua</w:t>
            </w:r>
          </w:p>
        </w:tc>
      </w:tr>
      <w:tr w:rsidR="00431E52" w:rsidRPr="00EA3E2E" w:rsidTr="0003585F">
        <w:tc>
          <w:tcPr>
            <w:tcW w:w="4264" w:type="dxa"/>
            <w:tcBorders>
              <w:top w:val="single" w:sz="4" w:space="0" w:color="42D0B8"/>
              <w:left w:val="single" w:sz="4" w:space="0" w:color="42D0B8"/>
              <w:bottom w:val="single" w:sz="4" w:space="0" w:color="42D0B8"/>
              <w:right w:val="single" w:sz="4" w:space="0" w:color="42D0B8"/>
            </w:tcBorders>
          </w:tcPr>
          <w:p w:rsidR="00431E52" w:rsidRPr="00EA3E2E" w:rsidRDefault="00DE47A4" w:rsidP="00EA3E2E">
            <w:pPr>
              <w:spacing w:before="120" w:after="120"/>
              <w:rPr>
                <w:rFonts w:asciiTheme="minorHAnsi" w:eastAsia="Arial Unicode MS" w:hAnsiTheme="minorHAnsi" w:cstheme="minorHAnsi"/>
                <w:sz w:val="22"/>
                <w:szCs w:val="22"/>
              </w:rPr>
            </w:pPr>
            <w:r>
              <w:rPr>
                <w:rFonts w:asciiTheme="minorHAnsi" w:eastAsia="Arial Unicode MS" w:hAnsiTheme="minorHAnsi" w:cstheme="minorHAnsi"/>
                <w:sz w:val="22"/>
                <w:szCs w:val="22"/>
              </w:rPr>
              <w:t>C</w:t>
            </w:r>
            <w:r w:rsidR="00431E52" w:rsidRPr="00EA3E2E">
              <w:rPr>
                <w:rFonts w:asciiTheme="minorHAnsi" w:eastAsia="Arial Unicode MS" w:hAnsiTheme="minorHAnsi" w:cstheme="minorHAnsi"/>
                <w:sz w:val="22"/>
                <w:szCs w:val="22"/>
              </w:rPr>
              <w:t>heryl Britton</w:t>
            </w:r>
          </w:p>
        </w:tc>
        <w:tc>
          <w:tcPr>
            <w:tcW w:w="4775" w:type="dxa"/>
            <w:tcBorders>
              <w:top w:val="single" w:sz="4" w:space="0" w:color="42D0B8"/>
              <w:left w:val="single" w:sz="4" w:space="0" w:color="42D0B8"/>
              <w:bottom w:val="single" w:sz="4" w:space="0" w:color="42D0B8"/>
              <w:right w:val="single" w:sz="4" w:space="0" w:color="42D0B8"/>
            </w:tcBorders>
          </w:tcPr>
          <w:p w:rsidR="00431E52" w:rsidRPr="00EA3E2E" w:rsidRDefault="00431E52" w:rsidP="00EA3E2E">
            <w:pPr>
              <w:spacing w:before="120" w:after="120"/>
              <w:rPr>
                <w:rFonts w:asciiTheme="minorHAnsi" w:eastAsia="Arial Unicode MS" w:hAnsiTheme="minorHAnsi" w:cstheme="minorHAnsi"/>
                <w:sz w:val="22"/>
                <w:szCs w:val="22"/>
              </w:rPr>
            </w:pPr>
            <w:r w:rsidRPr="00EA3E2E">
              <w:rPr>
                <w:rFonts w:asciiTheme="minorHAnsi" w:eastAsia="Arial Unicode MS" w:hAnsiTheme="minorHAnsi" w:cstheme="minorHAnsi"/>
                <w:sz w:val="22"/>
                <w:szCs w:val="22"/>
              </w:rPr>
              <w:t xml:space="preserve">Te </w:t>
            </w:r>
            <w:r w:rsidR="005C6335" w:rsidRPr="00EA3E2E">
              <w:rPr>
                <w:rFonts w:asciiTheme="minorHAnsi" w:eastAsia="Arial Unicode MS" w:hAnsiTheme="minorHAnsi" w:cstheme="minorHAnsi"/>
                <w:sz w:val="22"/>
                <w:szCs w:val="22"/>
              </w:rPr>
              <w:t xml:space="preserve">Hauora o te </w:t>
            </w:r>
            <w:r w:rsidRPr="00EA3E2E">
              <w:rPr>
                <w:rFonts w:asciiTheme="minorHAnsi" w:eastAsia="Arial Unicode MS" w:hAnsiTheme="minorHAnsi" w:cstheme="minorHAnsi"/>
                <w:sz w:val="22"/>
                <w:szCs w:val="22"/>
              </w:rPr>
              <w:t>Hiku o Te Ika, Kaitaia</w:t>
            </w:r>
          </w:p>
        </w:tc>
      </w:tr>
      <w:tr w:rsidR="00431E52" w:rsidRPr="00EA3E2E" w:rsidTr="0003585F">
        <w:tc>
          <w:tcPr>
            <w:tcW w:w="4264" w:type="dxa"/>
            <w:tcBorders>
              <w:top w:val="single" w:sz="4" w:space="0" w:color="42D0B8"/>
              <w:left w:val="single" w:sz="4" w:space="0" w:color="42D0B8"/>
              <w:bottom w:val="single" w:sz="4" w:space="0" w:color="42D0B8"/>
              <w:right w:val="single" w:sz="4" w:space="0" w:color="42D0B8"/>
            </w:tcBorders>
          </w:tcPr>
          <w:p w:rsidR="00431E52" w:rsidRPr="00EA3E2E" w:rsidRDefault="00431E52" w:rsidP="00EA3E2E">
            <w:pPr>
              <w:spacing w:before="120" w:after="120"/>
              <w:rPr>
                <w:rFonts w:asciiTheme="minorHAnsi" w:eastAsia="Arial Unicode MS" w:hAnsiTheme="minorHAnsi" w:cstheme="minorHAnsi"/>
                <w:sz w:val="22"/>
                <w:szCs w:val="22"/>
              </w:rPr>
            </w:pPr>
            <w:r w:rsidRPr="00EA3E2E">
              <w:rPr>
                <w:rFonts w:asciiTheme="minorHAnsi" w:eastAsia="Arial Unicode MS" w:hAnsiTheme="minorHAnsi" w:cstheme="minorHAnsi"/>
                <w:sz w:val="22"/>
                <w:szCs w:val="22"/>
              </w:rPr>
              <w:t xml:space="preserve">Greg Keay </w:t>
            </w:r>
          </w:p>
        </w:tc>
        <w:tc>
          <w:tcPr>
            <w:tcW w:w="4775" w:type="dxa"/>
            <w:tcBorders>
              <w:top w:val="single" w:sz="4" w:space="0" w:color="42D0B8"/>
              <w:left w:val="single" w:sz="4" w:space="0" w:color="42D0B8"/>
              <w:bottom w:val="single" w:sz="4" w:space="0" w:color="42D0B8"/>
              <w:right w:val="single" w:sz="4" w:space="0" w:color="42D0B8"/>
            </w:tcBorders>
          </w:tcPr>
          <w:p w:rsidR="00431E52" w:rsidRPr="00EA3E2E" w:rsidRDefault="00431E52" w:rsidP="00EA3E2E">
            <w:pPr>
              <w:spacing w:before="120" w:after="120"/>
              <w:rPr>
                <w:rFonts w:asciiTheme="minorHAnsi" w:eastAsia="Arial Unicode MS" w:hAnsiTheme="minorHAnsi" w:cstheme="minorHAnsi"/>
                <w:sz w:val="22"/>
                <w:szCs w:val="22"/>
              </w:rPr>
            </w:pPr>
            <w:r w:rsidRPr="00EA3E2E">
              <w:rPr>
                <w:rFonts w:asciiTheme="minorHAnsi" w:eastAsia="Arial Unicode MS" w:hAnsiTheme="minorHAnsi" w:cstheme="minorHAnsi"/>
                <w:sz w:val="22"/>
                <w:szCs w:val="22"/>
              </w:rPr>
              <w:t>Ngāti Hine Health Trust, Kawakawa</w:t>
            </w:r>
          </w:p>
        </w:tc>
      </w:tr>
      <w:tr w:rsidR="00431E52" w:rsidRPr="00EA3E2E" w:rsidTr="0003585F">
        <w:tc>
          <w:tcPr>
            <w:tcW w:w="4264" w:type="dxa"/>
            <w:tcBorders>
              <w:top w:val="single" w:sz="4" w:space="0" w:color="42D0B8"/>
              <w:left w:val="single" w:sz="4" w:space="0" w:color="42D0B8"/>
              <w:bottom w:val="single" w:sz="4" w:space="0" w:color="42D0B8"/>
              <w:right w:val="single" w:sz="4" w:space="0" w:color="42D0B8"/>
            </w:tcBorders>
          </w:tcPr>
          <w:p w:rsidR="00431E52" w:rsidRPr="00EA3E2E" w:rsidRDefault="00431E52" w:rsidP="00EA3E2E">
            <w:pPr>
              <w:spacing w:before="120" w:after="120"/>
              <w:rPr>
                <w:rFonts w:asciiTheme="minorHAnsi" w:eastAsia="Arial Unicode MS" w:hAnsiTheme="minorHAnsi" w:cstheme="minorHAnsi"/>
                <w:sz w:val="22"/>
                <w:szCs w:val="22"/>
              </w:rPr>
            </w:pPr>
            <w:r w:rsidRPr="00EA3E2E">
              <w:rPr>
                <w:rFonts w:asciiTheme="minorHAnsi" w:eastAsia="Arial Unicode MS" w:hAnsiTheme="minorHAnsi" w:cstheme="minorHAnsi"/>
                <w:sz w:val="22"/>
                <w:szCs w:val="22"/>
              </w:rPr>
              <w:t xml:space="preserve">Ana Randall </w:t>
            </w:r>
          </w:p>
        </w:tc>
        <w:tc>
          <w:tcPr>
            <w:tcW w:w="4775" w:type="dxa"/>
            <w:tcBorders>
              <w:top w:val="single" w:sz="4" w:space="0" w:color="42D0B8"/>
              <w:left w:val="single" w:sz="4" w:space="0" w:color="42D0B8"/>
              <w:bottom w:val="single" w:sz="4" w:space="0" w:color="42D0B8"/>
              <w:right w:val="single" w:sz="4" w:space="0" w:color="42D0B8"/>
            </w:tcBorders>
          </w:tcPr>
          <w:p w:rsidR="00431E52" w:rsidRPr="00EA3E2E" w:rsidRDefault="00431E52" w:rsidP="00EA3E2E">
            <w:pPr>
              <w:spacing w:before="120" w:after="120"/>
              <w:rPr>
                <w:rFonts w:asciiTheme="minorHAnsi" w:eastAsia="Arial Unicode MS" w:hAnsiTheme="minorHAnsi" w:cstheme="minorHAnsi"/>
                <w:sz w:val="22"/>
                <w:szCs w:val="22"/>
              </w:rPr>
            </w:pPr>
            <w:r w:rsidRPr="00EA3E2E">
              <w:rPr>
                <w:rFonts w:asciiTheme="minorHAnsi" w:eastAsia="Arial Unicode MS" w:hAnsiTheme="minorHAnsi" w:cstheme="minorHAnsi"/>
                <w:sz w:val="22"/>
                <w:szCs w:val="22"/>
              </w:rPr>
              <w:t>Raukura Hauora o Tainui, Hamilton</w:t>
            </w:r>
          </w:p>
        </w:tc>
      </w:tr>
      <w:tr w:rsidR="00431E52" w:rsidRPr="00EA3E2E" w:rsidTr="0003585F">
        <w:tc>
          <w:tcPr>
            <w:tcW w:w="4264" w:type="dxa"/>
            <w:tcBorders>
              <w:top w:val="single" w:sz="4" w:space="0" w:color="42D0B8"/>
              <w:left w:val="single" w:sz="4" w:space="0" w:color="42D0B8"/>
              <w:bottom w:val="single" w:sz="4" w:space="0" w:color="42D0B8"/>
              <w:right w:val="single" w:sz="4" w:space="0" w:color="42D0B8"/>
            </w:tcBorders>
          </w:tcPr>
          <w:p w:rsidR="00431E52" w:rsidRPr="00EA3E2E" w:rsidRDefault="00431E52" w:rsidP="00EA3E2E">
            <w:pPr>
              <w:spacing w:before="120" w:after="120"/>
              <w:rPr>
                <w:rFonts w:asciiTheme="minorHAnsi" w:eastAsia="Arial Unicode MS" w:hAnsiTheme="minorHAnsi" w:cstheme="minorHAnsi"/>
                <w:sz w:val="22"/>
                <w:szCs w:val="22"/>
              </w:rPr>
            </w:pPr>
            <w:r w:rsidRPr="00EA3E2E">
              <w:rPr>
                <w:rFonts w:asciiTheme="minorHAnsi" w:eastAsia="Arial Unicode MS" w:hAnsiTheme="minorHAnsi" w:cstheme="minorHAnsi"/>
                <w:sz w:val="22"/>
                <w:szCs w:val="22"/>
              </w:rPr>
              <w:t xml:space="preserve">Minnie McGibbon </w:t>
            </w:r>
          </w:p>
        </w:tc>
        <w:tc>
          <w:tcPr>
            <w:tcW w:w="4775" w:type="dxa"/>
            <w:tcBorders>
              <w:top w:val="single" w:sz="4" w:space="0" w:color="42D0B8"/>
              <w:left w:val="single" w:sz="4" w:space="0" w:color="42D0B8"/>
              <w:bottom w:val="single" w:sz="4" w:space="0" w:color="42D0B8"/>
              <w:right w:val="single" w:sz="4" w:space="0" w:color="42D0B8"/>
            </w:tcBorders>
          </w:tcPr>
          <w:p w:rsidR="00431E52" w:rsidRPr="00EA3E2E" w:rsidRDefault="00431E52" w:rsidP="00EA3E2E">
            <w:pPr>
              <w:spacing w:before="120" w:after="120"/>
              <w:rPr>
                <w:rFonts w:asciiTheme="minorHAnsi" w:eastAsia="Arial Unicode MS" w:hAnsiTheme="minorHAnsi" w:cstheme="minorHAnsi"/>
                <w:sz w:val="22"/>
                <w:szCs w:val="22"/>
              </w:rPr>
            </w:pPr>
            <w:r w:rsidRPr="00EA3E2E">
              <w:rPr>
                <w:rFonts w:asciiTheme="minorHAnsi" w:eastAsia="Arial Unicode MS" w:hAnsiTheme="minorHAnsi" w:cstheme="minorHAnsi"/>
                <w:sz w:val="22"/>
                <w:szCs w:val="22"/>
              </w:rPr>
              <w:t>Te Manu Toroa, Tauranga</w:t>
            </w:r>
          </w:p>
        </w:tc>
      </w:tr>
      <w:tr w:rsidR="00431E52" w:rsidRPr="00EA3E2E" w:rsidTr="0003585F">
        <w:tc>
          <w:tcPr>
            <w:tcW w:w="4264" w:type="dxa"/>
            <w:tcBorders>
              <w:top w:val="single" w:sz="4" w:space="0" w:color="42D0B8"/>
              <w:left w:val="single" w:sz="4" w:space="0" w:color="42D0B8"/>
              <w:bottom w:val="single" w:sz="4" w:space="0" w:color="42D0B8"/>
              <w:right w:val="single" w:sz="4" w:space="0" w:color="42D0B8"/>
            </w:tcBorders>
          </w:tcPr>
          <w:p w:rsidR="005C7E60" w:rsidRDefault="00431E52" w:rsidP="005C7E60">
            <w:pPr>
              <w:spacing w:before="120" w:after="120"/>
              <w:rPr>
                <w:rFonts w:asciiTheme="minorHAnsi" w:eastAsia="Arial Unicode MS" w:hAnsiTheme="minorHAnsi" w:cstheme="minorHAnsi"/>
                <w:sz w:val="22"/>
                <w:szCs w:val="22"/>
              </w:rPr>
            </w:pPr>
            <w:r w:rsidRPr="00EA3E2E">
              <w:rPr>
                <w:rFonts w:asciiTheme="minorHAnsi" w:eastAsia="Arial Unicode MS" w:hAnsiTheme="minorHAnsi" w:cstheme="minorHAnsi"/>
                <w:sz w:val="22"/>
                <w:szCs w:val="22"/>
              </w:rPr>
              <w:t>Pera Ngerengere</w:t>
            </w:r>
            <w:r w:rsidR="005C7E60">
              <w:rPr>
                <w:rFonts w:asciiTheme="minorHAnsi" w:eastAsia="Arial Unicode MS" w:hAnsiTheme="minorHAnsi" w:cstheme="minorHAnsi"/>
                <w:sz w:val="22"/>
                <w:szCs w:val="22"/>
              </w:rPr>
              <w:t xml:space="preserve"> (2014)</w:t>
            </w:r>
          </w:p>
          <w:p w:rsidR="005C7E60" w:rsidRPr="005C7E60" w:rsidRDefault="005C7E60" w:rsidP="005C7E60">
            <w:pPr>
              <w:spacing w:before="120" w:after="120"/>
              <w:rPr>
                <w:rFonts w:asciiTheme="minorHAnsi" w:eastAsia="Arial Unicode MS" w:hAnsiTheme="minorHAnsi" w:cstheme="minorHAnsi"/>
                <w:sz w:val="22"/>
                <w:szCs w:val="22"/>
              </w:rPr>
            </w:pPr>
            <w:r>
              <w:rPr>
                <w:rFonts w:asciiTheme="minorHAnsi" w:eastAsia="Arial Unicode MS" w:hAnsiTheme="minorHAnsi" w:cstheme="minorHAnsi"/>
                <w:sz w:val="22"/>
                <w:szCs w:val="22"/>
              </w:rPr>
              <w:t>Wiremu Reihana (2016)</w:t>
            </w:r>
          </w:p>
        </w:tc>
        <w:tc>
          <w:tcPr>
            <w:tcW w:w="4775" w:type="dxa"/>
            <w:tcBorders>
              <w:top w:val="single" w:sz="4" w:space="0" w:color="42D0B8"/>
              <w:left w:val="single" w:sz="4" w:space="0" w:color="42D0B8"/>
              <w:bottom w:val="single" w:sz="4" w:space="0" w:color="42D0B8"/>
              <w:right w:val="single" w:sz="4" w:space="0" w:color="42D0B8"/>
            </w:tcBorders>
          </w:tcPr>
          <w:p w:rsidR="00431E52" w:rsidRPr="00EA3E2E" w:rsidRDefault="00431E52" w:rsidP="00EA3E2E">
            <w:pPr>
              <w:spacing w:before="120" w:after="120"/>
              <w:rPr>
                <w:rFonts w:asciiTheme="minorHAnsi" w:eastAsia="Arial Unicode MS" w:hAnsiTheme="minorHAnsi" w:cstheme="minorHAnsi"/>
                <w:sz w:val="22"/>
                <w:szCs w:val="22"/>
              </w:rPr>
            </w:pPr>
            <w:r w:rsidRPr="00EA3E2E">
              <w:rPr>
                <w:rFonts w:asciiTheme="minorHAnsi" w:eastAsia="Arial Unicode MS" w:hAnsiTheme="minorHAnsi" w:cstheme="minorHAnsi"/>
                <w:sz w:val="22"/>
                <w:szCs w:val="22"/>
              </w:rPr>
              <w:t>Ngāti Porou Hauora, Te Puia Springs</w:t>
            </w:r>
          </w:p>
        </w:tc>
      </w:tr>
      <w:tr w:rsidR="00431E52" w:rsidRPr="00EA3E2E" w:rsidTr="0003585F">
        <w:tc>
          <w:tcPr>
            <w:tcW w:w="4264" w:type="dxa"/>
            <w:tcBorders>
              <w:top w:val="single" w:sz="4" w:space="0" w:color="42D0B8"/>
              <w:left w:val="single" w:sz="4" w:space="0" w:color="42D0B8"/>
              <w:bottom w:val="single" w:sz="4" w:space="0" w:color="42D0B8"/>
              <w:right w:val="single" w:sz="4" w:space="0" w:color="42D0B8"/>
            </w:tcBorders>
          </w:tcPr>
          <w:p w:rsidR="00431E52" w:rsidRPr="00EA3E2E" w:rsidRDefault="00431E52" w:rsidP="00EA3E2E">
            <w:pPr>
              <w:spacing w:before="120" w:after="120"/>
              <w:rPr>
                <w:rFonts w:asciiTheme="minorHAnsi" w:eastAsia="Arial Unicode MS" w:hAnsiTheme="minorHAnsi" w:cstheme="minorHAnsi"/>
                <w:sz w:val="22"/>
                <w:szCs w:val="22"/>
              </w:rPr>
            </w:pPr>
            <w:r w:rsidRPr="00EA3E2E">
              <w:rPr>
                <w:rFonts w:asciiTheme="minorHAnsi" w:eastAsia="Arial Unicode MS" w:hAnsiTheme="minorHAnsi" w:cstheme="minorHAnsi"/>
                <w:sz w:val="22"/>
                <w:szCs w:val="22"/>
              </w:rPr>
              <w:t xml:space="preserve">Raewyn Bourne </w:t>
            </w:r>
          </w:p>
        </w:tc>
        <w:tc>
          <w:tcPr>
            <w:tcW w:w="4775" w:type="dxa"/>
            <w:tcBorders>
              <w:top w:val="single" w:sz="4" w:space="0" w:color="42D0B8"/>
              <w:left w:val="single" w:sz="4" w:space="0" w:color="42D0B8"/>
              <w:bottom w:val="single" w:sz="4" w:space="0" w:color="42D0B8"/>
              <w:right w:val="single" w:sz="4" w:space="0" w:color="42D0B8"/>
            </w:tcBorders>
          </w:tcPr>
          <w:p w:rsidR="00431E52" w:rsidRPr="00EA3E2E" w:rsidRDefault="00431E52" w:rsidP="00EA3E2E">
            <w:pPr>
              <w:spacing w:before="120" w:after="120"/>
              <w:rPr>
                <w:rFonts w:asciiTheme="minorHAnsi" w:eastAsia="Arial Unicode MS" w:hAnsiTheme="minorHAnsi" w:cstheme="minorHAnsi"/>
                <w:sz w:val="22"/>
                <w:szCs w:val="22"/>
              </w:rPr>
            </w:pPr>
            <w:r w:rsidRPr="00EA3E2E">
              <w:rPr>
                <w:rFonts w:asciiTheme="minorHAnsi" w:eastAsia="Arial Unicode MS" w:hAnsiTheme="minorHAnsi" w:cstheme="minorHAnsi"/>
                <w:sz w:val="22"/>
                <w:szCs w:val="22"/>
              </w:rPr>
              <w:t>Tipu Ora, Rotorua</w:t>
            </w:r>
          </w:p>
        </w:tc>
      </w:tr>
      <w:tr w:rsidR="00431E52" w:rsidRPr="00EA3E2E" w:rsidTr="0003585F">
        <w:tc>
          <w:tcPr>
            <w:tcW w:w="4264" w:type="dxa"/>
            <w:tcBorders>
              <w:top w:val="single" w:sz="4" w:space="0" w:color="42D0B8"/>
              <w:left w:val="single" w:sz="4" w:space="0" w:color="42D0B8"/>
              <w:bottom w:val="single" w:sz="4" w:space="0" w:color="42D0B8"/>
              <w:right w:val="single" w:sz="4" w:space="0" w:color="42D0B8"/>
            </w:tcBorders>
          </w:tcPr>
          <w:p w:rsidR="005C7E60" w:rsidRDefault="00431E52" w:rsidP="005C7E60">
            <w:pPr>
              <w:spacing w:before="120" w:after="120"/>
              <w:rPr>
                <w:rFonts w:asciiTheme="minorHAnsi" w:eastAsia="Arial Unicode MS" w:hAnsiTheme="minorHAnsi" w:cstheme="minorHAnsi"/>
                <w:sz w:val="22"/>
                <w:szCs w:val="22"/>
              </w:rPr>
            </w:pPr>
            <w:r w:rsidRPr="00EA3E2E">
              <w:rPr>
                <w:rFonts w:asciiTheme="minorHAnsi" w:eastAsia="Arial Unicode MS" w:hAnsiTheme="minorHAnsi" w:cstheme="minorHAnsi"/>
                <w:sz w:val="22"/>
                <w:szCs w:val="22"/>
              </w:rPr>
              <w:t>Patrick LeGeyt</w:t>
            </w:r>
            <w:r w:rsidR="005C7E60">
              <w:rPr>
                <w:rFonts w:asciiTheme="minorHAnsi" w:eastAsia="Arial Unicode MS" w:hAnsiTheme="minorHAnsi" w:cstheme="minorHAnsi"/>
                <w:sz w:val="22"/>
                <w:szCs w:val="22"/>
              </w:rPr>
              <w:t xml:space="preserve"> (2014)</w:t>
            </w:r>
          </w:p>
          <w:p w:rsidR="005C7E60" w:rsidRPr="005C7E60" w:rsidRDefault="005C7E60" w:rsidP="005C7E60">
            <w:pPr>
              <w:spacing w:before="120" w:after="120"/>
              <w:rPr>
                <w:rFonts w:asciiTheme="minorHAnsi" w:eastAsia="Arial Unicode MS" w:hAnsiTheme="minorHAnsi" w:cstheme="minorHAnsi"/>
                <w:sz w:val="22"/>
                <w:szCs w:val="22"/>
              </w:rPr>
            </w:pPr>
            <w:r>
              <w:rPr>
                <w:rFonts w:asciiTheme="minorHAnsi" w:eastAsia="Arial Unicode MS" w:hAnsiTheme="minorHAnsi" w:cstheme="minorHAnsi"/>
                <w:sz w:val="22"/>
                <w:szCs w:val="22"/>
              </w:rPr>
              <w:t>Tina Godbert (2016)</w:t>
            </w:r>
            <w:r w:rsidR="00431E52" w:rsidRPr="00EA3E2E">
              <w:rPr>
                <w:rFonts w:asciiTheme="minorHAnsi" w:eastAsia="Arial Unicode MS" w:hAnsiTheme="minorHAnsi" w:cstheme="minorHAnsi"/>
                <w:sz w:val="22"/>
                <w:szCs w:val="22"/>
              </w:rPr>
              <w:t xml:space="preserve"> </w:t>
            </w:r>
          </w:p>
        </w:tc>
        <w:tc>
          <w:tcPr>
            <w:tcW w:w="4775" w:type="dxa"/>
            <w:tcBorders>
              <w:top w:val="single" w:sz="4" w:space="0" w:color="42D0B8"/>
              <w:left w:val="single" w:sz="4" w:space="0" w:color="42D0B8"/>
              <w:bottom w:val="single" w:sz="4" w:space="0" w:color="42D0B8"/>
              <w:right w:val="single" w:sz="4" w:space="0" w:color="42D0B8"/>
            </w:tcBorders>
          </w:tcPr>
          <w:p w:rsidR="00431E52" w:rsidRPr="00EA3E2E" w:rsidRDefault="00431E52" w:rsidP="00EA3E2E">
            <w:pPr>
              <w:spacing w:before="120" w:after="120"/>
              <w:rPr>
                <w:rFonts w:asciiTheme="minorHAnsi" w:eastAsia="Arial Unicode MS" w:hAnsiTheme="minorHAnsi" w:cstheme="minorHAnsi"/>
                <w:sz w:val="22"/>
                <w:szCs w:val="22"/>
              </w:rPr>
            </w:pPr>
            <w:r w:rsidRPr="00EA3E2E">
              <w:rPr>
                <w:rFonts w:asciiTheme="minorHAnsi" w:eastAsia="Arial Unicode MS" w:hAnsiTheme="minorHAnsi" w:cstheme="minorHAnsi"/>
                <w:sz w:val="22"/>
                <w:szCs w:val="22"/>
              </w:rPr>
              <w:t>Te Taiwhenua o Heretaunga, Hastings</w:t>
            </w:r>
          </w:p>
        </w:tc>
      </w:tr>
    </w:tbl>
    <w:p w:rsidR="005C6335" w:rsidRDefault="00422D5F" w:rsidP="00DA49AF">
      <w:pPr>
        <w:spacing w:before="120"/>
        <w:rPr>
          <w:rFonts w:eastAsia="Arial Unicode MS" w:cs="Arial Unicode MS"/>
          <w:color w:val="4F6228" w:themeColor="accent3" w:themeShade="80"/>
          <w:kern w:val="32"/>
          <w:sz w:val="40"/>
          <w:szCs w:val="48"/>
        </w:rPr>
      </w:pPr>
      <w:r>
        <w:rPr>
          <w:sz w:val="16"/>
          <w:szCs w:val="16"/>
        </w:rPr>
        <w:t>*C</w:t>
      </w:r>
      <w:r w:rsidR="00C37D18">
        <w:rPr>
          <w:sz w:val="16"/>
          <w:szCs w:val="16"/>
        </w:rPr>
        <w:t>urrent Chair as at 4 April 2016</w:t>
      </w:r>
    </w:p>
    <w:sectPr w:rsidR="005C6335" w:rsidSect="002D3B17">
      <w:type w:val="continuous"/>
      <w:pgSz w:w="11906" w:h="16838" w:code="9"/>
      <w:pgMar w:top="1440" w:right="1274" w:bottom="1440" w:left="179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49E3" w:rsidRDefault="00CC49E3" w:rsidP="00B15AC9">
      <w:r>
        <w:separator/>
      </w:r>
    </w:p>
  </w:endnote>
  <w:endnote w:type="continuationSeparator" w:id="0">
    <w:p w:rsidR="00CC49E3" w:rsidRDefault="00CC49E3" w:rsidP="00B15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Arial (W1)">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empos Text Bold">
    <w:altName w:val="Tiempos Text Bold"/>
    <w:panose1 w:val="00000000000000000000"/>
    <w:charset w:val="00"/>
    <w:family w:val="roman"/>
    <w:notTrueType/>
    <w:pitch w:val="default"/>
    <w:sig w:usb0="00000003" w:usb1="00000000" w:usb2="00000000" w:usb3="00000000" w:csb0="00000001" w:csb1="00000000"/>
  </w:font>
  <w:font w:name="Meta Plus Normal">
    <w:altName w:val="Meta Plus Normal"/>
    <w:panose1 w:val="00000000000000000000"/>
    <w:charset w:val="00"/>
    <w:family w:val="roman"/>
    <w:notTrueType/>
    <w:pitch w:val="default"/>
    <w:sig w:usb0="00000003" w:usb1="00000000" w:usb2="00000000" w:usb3="00000000" w:csb0="00000001" w:csb1="00000000"/>
  </w:font>
  <w:font w:name="Meta Normal LFNZ">
    <w:altName w:val="Meta Normal LFNZ"/>
    <w:panose1 w:val="00000000000000000000"/>
    <w:charset w:val="00"/>
    <w:family w:val="swiss"/>
    <w:notTrueType/>
    <w:pitch w:val="default"/>
    <w:sig w:usb0="00000003" w:usb1="00000000" w:usb2="00000000" w:usb3="00000000" w:csb0="00000001" w:csb1="00000000"/>
  </w:font>
  <w:font w:name="Ocean Sans Maori">
    <w:altName w:val="Ocean Sans Maori"/>
    <w:panose1 w:val="00000000000000000000"/>
    <w:charset w:val="00"/>
    <w:family w:val="swiss"/>
    <w:notTrueType/>
    <w:pitch w:val="default"/>
    <w:sig w:usb0="00000003" w:usb1="00000000" w:usb2="00000000" w:usb3="00000000" w:csb0="00000001" w:csb1="00000000"/>
  </w:font>
  <w:font w:name="LICBD I+ Maori Palatino">
    <w:altName w:val="Maori Palatino Roman"/>
    <w:panose1 w:val="00000000000000000000"/>
    <w:charset w:val="00"/>
    <w:family w:val="roman"/>
    <w:notTrueType/>
    <w:pitch w:val="default"/>
    <w:sig w:usb0="00000003" w:usb1="00000000" w:usb2="00000000" w:usb3="00000000" w:csb0="00000001" w:csb1="00000000"/>
  </w:font>
  <w:font w:name="Tiempos Text Regular">
    <w:altName w:val="Tiempos Text Regular"/>
    <w:panose1 w:val="00000000000000000000"/>
    <w:charset w:val="00"/>
    <w:family w:val="roman"/>
    <w:notTrueType/>
    <w:pitch w:val="default"/>
    <w:sig w:usb0="00000003" w:usb1="00000000" w:usb2="00000000" w:usb3="00000000" w:csb0="00000001"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D18" w:rsidRDefault="00C37D18" w:rsidP="008679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37D18" w:rsidRDefault="00C37D18" w:rsidP="008679B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D18" w:rsidRPr="005D0F14" w:rsidRDefault="00C37D18" w:rsidP="008679BC">
    <w:pPr>
      <w:pStyle w:val="Footer"/>
      <w:framePr w:wrap="around" w:vAnchor="text" w:hAnchor="page" w:x="10144" w:yAlign="bottom"/>
      <w:rPr>
        <w:rStyle w:val="PageNumber"/>
        <w:rFonts w:ascii="Arial Black" w:hAnsi="Arial Black" w:cs="Arial Black"/>
        <w:sz w:val="22"/>
        <w:szCs w:val="22"/>
      </w:rPr>
    </w:pPr>
    <w:r w:rsidRPr="005D0F14">
      <w:rPr>
        <w:rStyle w:val="PageNumber"/>
        <w:rFonts w:ascii="Arial Black" w:hAnsi="Arial Black" w:cs="Arial Black"/>
        <w:sz w:val="22"/>
        <w:szCs w:val="22"/>
      </w:rPr>
      <w:fldChar w:fldCharType="begin"/>
    </w:r>
    <w:r w:rsidRPr="005D0F14">
      <w:rPr>
        <w:rStyle w:val="PageNumber"/>
        <w:rFonts w:ascii="Arial Black" w:hAnsi="Arial Black" w:cs="Arial Black"/>
        <w:sz w:val="22"/>
        <w:szCs w:val="22"/>
      </w:rPr>
      <w:instrText xml:space="preserve">PAGE  </w:instrText>
    </w:r>
    <w:r w:rsidRPr="005D0F14">
      <w:rPr>
        <w:rStyle w:val="PageNumber"/>
        <w:rFonts w:ascii="Arial Black" w:hAnsi="Arial Black" w:cs="Arial Black"/>
        <w:sz w:val="22"/>
        <w:szCs w:val="22"/>
      </w:rPr>
      <w:fldChar w:fldCharType="separate"/>
    </w:r>
    <w:r>
      <w:rPr>
        <w:rStyle w:val="PageNumber"/>
        <w:rFonts w:ascii="Arial Black" w:hAnsi="Arial Black" w:cs="Arial Black"/>
        <w:noProof/>
        <w:sz w:val="22"/>
        <w:szCs w:val="22"/>
      </w:rPr>
      <w:t>1</w:t>
    </w:r>
    <w:r w:rsidRPr="005D0F14">
      <w:rPr>
        <w:rStyle w:val="PageNumber"/>
        <w:rFonts w:ascii="Arial Black" w:hAnsi="Arial Black" w:cs="Arial Black"/>
        <w:sz w:val="22"/>
        <w:szCs w:val="22"/>
      </w:rPr>
      <w:fldChar w:fldCharType="end"/>
    </w:r>
  </w:p>
  <w:p w:rsidR="00C37D18" w:rsidRDefault="00C37D18" w:rsidP="008679B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D18" w:rsidRPr="00E87AE5" w:rsidRDefault="00C37D18">
    <w:pPr>
      <w:pStyle w:val="Footer"/>
      <w:rPr>
        <w:lang w:val="en-US"/>
      </w:rPr>
    </w:pPr>
    <w:r>
      <w:rPr>
        <w:lang w:val="en-US"/>
      </w:rPr>
      <w:tab/>
    </w:r>
    <w:r>
      <w:rPr>
        <w:lang w:val="en-US"/>
      </w:rP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D18" w:rsidRDefault="00C37D18" w:rsidP="008679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37D18" w:rsidRDefault="00C37D18">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5489111"/>
      <w:docPartObj>
        <w:docPartGallery w:val="Page Numbers (Bottom of Page)"/>
        <w:docPartUnique/>
      </w:docPartObj>
    </w:sdtPr>
    <w:sdtEndPr>
      <w:rPr>
        <w:b/>
      </w:rPr>
    </w:sdtEndPr>
    <w:sdtContent>
      <w:p w:rsidR="00C37D18" w:rsidRPr="00182697" w:rsidRDefault="00C37D18">
        <w:pPr>
          <w:pStyle w:val="Footer"/>
          <w:jc w:val="center"/>
          <w:rPr>
            <w:b/>
          </w:rPr>
        </w:pPr>
        <w:r w:rsidRPr="00182697">
          <w:rPr>
            <w:b/>
          </w:rPr>
          <w:fldChar w:fldCharType="begin"/>
        </w:r>
        <w:r w:rsidRPr="00182697">
          <w:rPr>
            <w:b/>
          </w:rPr>
          <w:instrText xml:space="preserve"> PAGE   \* MERGEFORMAT </w:instrText>
        </w:r>
        <w:r w:rsidRPr="00182697">
          <w:rPr>
            <w:b/>
          </w:rPr>
          <w:fldChar w:fldCharType="separate"/>
        </w:r>
        <w:r w:rsidR="00DC3A06">
          <w:rPr>
            <w:b/>
            <w:noProof/>
          </w:rPr>
          <w:t>i</w:t>
        </w:r>
        <w:r w:rsidRPr="00182697">
          <w:rPr>
            <w:b/>
            <w:noProof/>
          </w:rPr>
          <w:fldChar w:fldCharType="end"/>
        </w:r>
      </w:p>
    </w:sdtContent>
  </w:sdt>
  <w:p w:rsidR="00C37D18" w:rsidRPr="00B3233C" w:rsidRDefault="00C37D18" w:rsidP="00B3233C">
    <w:pPr>
      <w:pStyle w:val="Footer"/>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49E3" w:rsidRDefault="00CC49E3" w:rsidP="00B15AC9">
      <w:r>
        <w:separator/>
      </w:r>
    </w:p>
  </w:footnote>
  <w:footnote w:type="continuationSeparator" w:id="0">
    <w:p w:rsidR="00CC49E3" w:rsidRDefault="00CC49E3" w:rsidP="00B15A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D18" w:rsidRDefault="00C37D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D18" w:rsidRPr="00182697" w:rsidRDefault="00C37D18" w:rsidP="00B3404D">
    <w:pPr>
      <w:jc w:val="right"/>
      <w:rPr>
        <w:rFonts w:asciiTheme="minorHAnsi" w:hAnsiTheme="minorHAnsi" w:cstheme="minorHAnsi"/>
        <w:sz w:val="16"/>
        <w:szCs w:val="16"/>
        <w:lang w:val="mi-NZ"/>
      </w:rPr>
    </w:pPr>
    <w:r w:rsidRPr="00182697">
      <w:rPr>
        <w:rFonts w:asciiTheme="minorHAnsi" w:hAnsiTheme="minorHAnsi" w:cstheme="minorHAnsi"/>
        <w:sz w:val="16"/>
        <w:szCs w:val="16"/>
        <w:lang w:val="mi-NZ" w:eastAsia="en-US"/>
      </w:rPr>
      <w:t xml:space="preserve">    </w:t>
    </w:r>
    <w:r w:rsidRPr="00182697">
      <w:rPr>
        <w:rFonts w:asciiTheme="minorHAnsi" w:hAnsiTheme="minorHAnsi" w:cstheme="minorHAnsi"/>
        <w:sz w:val="16"/>
        <w:szCs w:val="16"/>
        <w:lang w:val="mi-NZ" w:eastAsia="en-US"/>
      </w:rPr>
      <w:tab/>
    </w:r>
    <w:r w:rsidRPr="00182697">
      <w:rPr>
        <w:rFonts w:asciiTheme="minorHAnsi" w:hAnsiTheme="minorHAnsi" w:cstheme="minorHAnsi"/>
        <w:sz w:val="16"/>
        <w:szCs w:val="16"/>
        <w:lang w:val="mi-NZ" w:eastAsia="en-US"/>
      </w:rPr>
      <w:tab/>
    </w:r>
    <w:r w:rsidRPr="00182697">
      <w:rPr>
        <w:rFonts w:asciiTheme="minorHAnsi" w:hAnsiTheme="minorHAnsi" w:cstheme="minorHAnsi"/>
        <w:sz w:val="16"/>
        <w:szCs w:val="16"/>
        <w:lang w:val="mi-NZ" w:eastAsia="en-US"/>
      </w:rPr>
      <w:tab/>
    </w:r>
    <w:r w:rsidRPr="00182697">
      <w:rPr>
        <w:rFonts w:asciiTheme="minorHAnsi" w:hAnsiTheme="minorHAnsi" w:cstheme="minorHAnsi"/>
        <w:sz w:val="16"/>
        <w:szCs w:val="16"/>
        <w:lang w:val="mi-NZ" w:eastAsia="en-US"/>
      </w:rPr>
      <w:tab/>
    </w:r>
    <w:r w:rsidRPr="00182697">
      <w:rPr>
        <w:rFonts w:asciiTheme="minorHAnsi" w:hAnsiTheme="minorHAnsi" w:cstheme="minorHAnsi"/>
        <w:sz w:val="16"/>
        <w:szCs w:val="16"/>
        <w:lang w:val="mi-NZ" w:eastAsia="en-US"/>
      </w:rPr>
      <w:tab/>
    </w:r>
    <w:r w:rsidRPr="00182697">
      <w:rPr>
        <w:rFonts w:asciiTheme="minorHAnsi" w:hAnsiTheme="minorHAnsi" w:cstheme="minorHAnsi"/>
        <w:sz w:val="16"/>
        <w:szCs w:val="16"/>
        <w:lang w:val="mi-NZ" w:eastAsia="en-US"/>
      </w:rPr>
      <w:tab/>
    </w:r>
    <w:r w:rsidRPr="00182697">
      <w:rPr>
        <w:rFonts w:asciiTheme="minorHAnsi" w:hAnsiTheme="minorHAnsi" w:cstheme="minorHAnsi"/>
        <w:sz w:val="16"/>
        <w:szCs w:val="16"/>
        <w:lang w:val="mi-NZ" w:eastAsia="en-US"/>
      </w:rPr>
      <w:tab/>
    </w:r>
    <w:r w:rsidRPr="00182697">
      <w:rPr>
        <w:rFonts w:asciiTheme="minorHAnsi" w:hAnsiTheme="minorHAnsi" w:cstheme="minorHAnsi"/>
        <w:sz w:val="16"/>
        <w:szCs w:val="16"/>
        <w:lang w:val="mi-NZ"/>
      </w:rPr>
      <w:t xml:space="preserve">National Māori Oral Health Coordination Service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D18" w:rsidRDefault="00C37D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5ABB"/>
    <w:multiLevelType w:val="hybridMultilevel"/>
    <w:tmpl w:val="379EF812"/>
    <w:lvl w:ilvl="0" w:tplc="65086A50">
      <w:start w:val="1"/>
      <w:numFmt w:val="bullet"/>
      <w:lvlText w:val=""/>
      <w:lvlJc w:val="left"/>
      <w:pPr>
        <w:ind w:left="720" w:hanging="360"/>
      </w:pPr>
      <w:rPr>
        <w:rFonts w:ascii="Wingdings" w:hAnsi="Wingdings"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4F27589"/>
    <w:multiLevelType w:val="multilevel"/>
    <w:tmpl w:val="4B14C24A"/>
    <w:styleLink w:val="zParaNumbersbullets"/>
    <w:lvl w:ilvl="0">
      <w:start w:val="1"/>
      <w:numFmt w:val="decimal"/>
      <w:pStyle w:val="zNumTxt"/>
      <w:lvlText w:val="%1."/>
      <w:lvlJc w:val="left"/>
      <w:pPr>
        <w:ind w:hanging="680"/>
      </w:pPr>
      <w:rPr>
        <w:rFonts w:cs="Times New Roman" w:hint="default"/>
        <w:sz w:val="16"/>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Courier New" w:hAnsi="Courier New" w:hint="default"/>
        <w:color w:val="4D4F3F"/>
      </w:rPr>
    </w:lvl>
    <w:lvl w:ilvl="3">
      <w:start w:val="1"/>
      <w:numFmt w:val="bullet"/>
      <w:lvlText w:val="▫"/>
      <w:lvlJc w:val="left"/>
      <w:pPr>
        <w:ind w:left="1440" w:hanging="360"/>
      </w:pPr>
      <w:rPr>
        <w:rFonts w:ascii="Verdana" w:hAnsi="Verdana" w:hint="default"/>
        <w:color w:val="4D4F3F"/>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15:restartNumberingAfterBreak="0">
    <w:nsid w:val="15813B39"/>
    <w:multiLevelType w:val="hybridMultilevel"/>
    <w:tmpl w:val="5EC08306"/>
    <w:lvl w:ilvl="0" w:tplc="FCC258EA">
      <w:start w:val="1"/>
      <w:numFmt w:val="bullet"/>
      <w:lvlText w:val="-"/>
      <w:lvlJc w:val="left"/>
      <w:pPr>
        <w:ind w:left="720" w:hanging="360"/>
      </w:pPr>
      <w:rPr>
        <w:rFonts w:ascii="Calibri" w:eastAsiaTheme="minorHAnsi" w:hAnsi="Calibri"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A793F66"/>
    <w:multiLevelType w:val="multilevel"/>
    <w:tmpl w:val="F496BAD2"/>
    <w:lvl w:ilvl="0">
      <w:start w:val="1"/>
      <w:numFmt w:val="decimal"/>
      <w:pStyle w:val="ListNumber"/>
      <w:suff w:val="nothing"/>
      <w:lvlText w:val="%1"/>
      <w:lvlJc w:val="left"/>
      <w:pPr>
        <w:ind w:left="992" w:hanging="567"/>
      </w:pPr>
      <w:rPr>
        <w:rFonts w:cs="Times New Roman" w:hint="default"/>
      </w:rPr>
    </w:lvl>
    <w:lvl w:ilvl="1">
      <w:start w:val="1"/>
      <w:numFmt w:val="decimal"/>
      <w:pStyle w:val="ListNumber2"/>
      <w:lvlText w:val="%2"/>
      <w:lvlJc w:val="left"/>
      <w:pPr>
        <w:tabs>
          <w:tab w:val="num" w:pos="992"/>
        </w:tabs>
        <w:ind w:left="992" w:hanging="567"/>
      </w:pPr>
      <w:rPr>
        <w:rFonts w:cs="Times New Roman" w:hint="default"/>
      </w:rPr>
    </w:lvl>
    <w:lvl w:ilvl="2">
      <w:start w:val="1"/>
      <w:numFmt w:val="none"/>
      <w:lvlRestart w:val="0"/>
      <w:pStyle w:val="TOAHeading"/>
      <w:isLgl/>
      <w:lvlText w:val="%2.1"/>
      <w:lvlJc w:val="left"/>
      <w:pPr>
        <w:tabs>
          <w:tab w:val="num" w:pos="1559"/>
        </w:tabs>
        <w:ind w:left="1559" w:hanging="567"/>
      </w:pPr>
      <w:rPr>
        <w:rFonts w:cs="Times New Roman" w:hint="default"/>
      </w:rPr>
    </w:lvl>
    <w:lvl w:ilvl="3">
      <w:start w:val="1"/>
      <w:numFmt w:val="decimal"/>
      <w:lvlText w:val="(%4)"/>
      <w:lvlJc w:val="left"/>
      <w:pPr>
        <w:tabs>
          <w:tab w:val="num" w:pos="1865"/>
        </w:tabs>
        <w:ind w:left="1865" w:hanging="360"/>
      </w:pPr>
      <w:rPr>
        <w:rFonts w:cs="Times New Roman" w:hint="default"/>
      </w:rPr>
    </w:lvl>
    <w:lvl w:ilvl="4">
      <w:start w:val="1"/>
      <w:numFmt w:val="lowerLetter"/>
      <w:lvlText w:val="(%5)"/>
      <w:lvlJc w:val="left"/>
      <w:pPr>
        <w:tabs>
          <w:tab w:val="num" w:pos="2225"/>
        </w:tabs>
        <w:ind w:left="2225" w:hanging="360"/>
      </w:pPr>
      <w:rPr>
        <w:rFonts w:cs="Times New Roman" w:hint="default"/>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numFmt w:val="none"/>
      <w:lvlText w:val=""/>
      <w:lvlJc w:val="left"/>
      <w:pPr>
        <w:tabs>
          <w:tab w:val="num" w:pos="360"/>
        </w:tabs>
      </w:pPr>
      <w:rPr>
        <w:rFonts w:cs="Times New Roman"/>
      </w:rPr>
    </w:lvl>
  </w:abstractNum>
  <w:abstractNum w:abstractNumId="4" w15:restartNumberingAfterBreak="0">
    <w:nsid w:val="1AAE40BC"/>
    <w:multiLevelType w:val="hybridMultilevel"/>
    <w:tmpl w:val="2834D448"/>
    <w:lvl w:ilvl="0" w:tplc="1409000B">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3DC73B2"/>
    <w:multiLevelType w:val="hybridMultilevel"/>
    <w:tmpl w:val="BC78FC4C"/>
    <w:lvl w:ilvl="0" w:tplc="1409000B">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B884767"/>
    <w:multiLevelType w:val="hybridMultilevel"/>
    <w:tmpl w:val="DEBA41F6"/>
    <w:lvl w:ilvl="0" w:tplc="1409000B">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C656BB4"/>
    <w:multiLevelType w:val="hybridMultilevel"/>
    <w:tmpl w:val="76FE7520"/>
    <w:lvl w:ilvl="0" w:tplc="0409000F">
      <w:start w:val="1"/>
      <w:numFmt w:val="bullet"/>
      <w:pStyle w:val="TableBullet1"/>
      <w:lvlText w:val=""/>
      <w:lvlJc w:val="left"/>
      <w:pPr>
        <w:tabs>
          <w:tab w:val="num" w:pos="425"/>
        </w:tabs>
        <w:ind w:left="425" w:hanging="425"/>
      </w:pPr>
      <w:rPr>
        <w:rFonts w:ascii="Wingdings" w:hAnsi="Wingdings" w:hint="default"/>
        <w:color w:val="auto"/>
        <w:sz w:val="20"/>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B60834"/>
    <w:multiLevelType w:val="multilevel"/>
    <w:tmpl w:val="37E0E85A"/>
    <w:lvl w:ilvl="0">
      <w:start w:val="1"/>
      <w:numFmt w:val="decimal"/>
      <w:pStyle w:val="R1indented"/>
      <w:lvlText w:val="%1"/>
      <w:lvlJc w:val="left"/>
      <w:pPr>
        <w:tabs>
          <w:tab w:val="num" w:pos="1134"/>
        </w:tabs>
        <w:ind w:left="1134" w:hanging="567"/>
      </w:pPr>
      <w:rPr>
        <w:rFonts w:cs="Times New Roman" w:hint="default"/>
      </w:rPr>
    </w:lvl>
    <w:lvl w:ilvl="1">
      <w:start w:val="1"/>
      <w:numFmt w:val="decimal"/>
      <w:lvlRestart w:val="0"/>
      <w:lvlText w:val="%1.%2"/>
      <w:lvlJc w:val="left"/>
      <w:pPr>
        <w:tabs>
          <w:tab w:val="num" w:pos="1701"/>
        </w:tabs>
        <w:ind w:left="1701" w:hanging="567"/>
      </w:pPr>
      <w:rPr>
        <w:rFonts w:cs="Times New Roman" w:hint="default"/>
      </w:rPr>
    </w:lvl>
    <w:lvl w:ilvl="2">
      <w:start w:val="1"/>
      <w:numFmt w:val="decimal"/>
      <w:lvlText w:val="%1.%2.%3"/>
      <w:lvlJc w:val="left"/>
      <w:pPr>
        <w:tabs>
          <w:tab w:val="num" w:pos="2268"/>
        </w:tabs>
        <w:ind w:left="2268" w:hanging="567"/>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4320"/>
        </w:tabs>
        <w:ind w:left="2232" w:hanging="792"/>
      </w:pPr>
      <w:rPr>
        <w:rFonts w:cs="Times New Roman" w:hint="default"/>
      </w:rPr>
    </w:lvl>
    <w:lvl w:ilvl="5">
      <w:start w:val="1"/>
      <w:numFmt w:val="decimal"/>
      <w:lvlText w:val="%1.%2.%3.%4.%5.%6."/>
      <w:lvlJc w:val="left"/>
      <w:pPr>
        <w:tabs>
          <w:tab w:val="num" w:pos="5040"/>
        </w:tabs>
        <w:ind w:left="2736" w:hanging="936"/>
      </w:pPr>
      <w:rPr>
        <w:rFonts w:cs="Times New Roman" w:hint="default"/>
      </w:rPr>
    </w:lvl>
    <w:lvl w:ilvl="6">
      <w:start w:val="1"/>
      <w:numFmt w:val="decimal"/>
      <w:lvlText w:val="%1.%2.%3.%4.%5.%6.%7."/>
      <w:lvlJc w:val="left"/>
      <w:pPr>
        <w:tabs>
          <w:tab w:val="num" w:pos="5760"/>
        </w:tabs>
        <w:ind w:left="3240" w:hanging="1080"/>
      </w:pPr>
      <w:rPr>
        <w:rFonts w:cs="Times New Roman" w:hint="default"/>
      </w:rPr>
    </w:lvl>
    <w:lvl w:ilvl="7">
      <w:start w:val="1"/>
      <w:numFmt w:val="decimal"/>
      <w:lvlText w:val="%1.%2.%3.%4.%5.%6.%7.%8."/>
      <w:lvlJc w:val="left"/>
      <w:pPr>
        <w:tabs>
          <w:tab w:val="num" w:pos="6840"/>
        </w:tabs>
        <w:ind w:left="3744" w:hanging="1224"/>
      </w:pPr>
      <w:rPr>
        <w:rFonts w:cs="Times New Roman" w:hint="default"/>
      </w:rPr>
    </w:lvl>
    <w:lvl w:ilvl="8">
      <w:start w:val="1"/>
      <w:numFmt w:val="decimal"/>
      <w:lvlText w:val="%1.%2.%3.%4.%5.%6.%7.%8.%9."/>
      <w:lvlJc w:val="left"/>
      <w:pPr>
        <w:tabs>
          <w:tab w:val="num" w:pos="7560"/>
        </w:tabs>
        <w:ind w:left="4320" w:hanging="1440"/>
      </w:pPr>
      <w:rPr>
        <w:rFonts w:cs="Times New Roman" w:hint="default"/>
      </w:rPr>
    </w:lvl>
  </w:abstractNum>
  <w:abstractNum w:abstractNumId="9" w15:restartNumberingAfterBreak="0">
    <w:nsid w:val="2F3139BE"/>
    <w:multiLevelType w:val="hybridMultilevel"/>
    <w:tmpl w:val="F0F6B130"/>
    <w:lvl w:ilvl="0" w:tplc="FFFFFFFF">
      <w:start w:val="1"/>
      <w:numFmt w:val="bullet"/>
      <w:pStyle w:val="SSCBullet2"/>
      <w:lvlText w:val="-"/>
      <w:lvlJc w:val="left"/>
      <w:pPr>
        <w:tabs>
          <w:tab w:val="num" w:pos="1247"/>
        </w:tabs>
        <w:ind w:left="1247" w:hanging="567"/>
      </w:pPr>
      <w:rPr>
        <w:rFonts w:ascii="Times New Roman" w:hAnsi="Times New Roman"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8D4D8C"/>
    <w:multiLevelType w:val="hybridMultilevel"/>
    <w:tmpl w:val="6870F91E"/>
    <w:lvl w:ilvl="0" w:tplc="14090005">
      <w:start w:val="1"/>
      <w:numFmt w:val="bullet"/>
      <w:lvlText w:val=""/>
      <w:lvlJc w:val="left"/>
      <w:pPr>
        <w:ind w:left="1077" w:hanging="360"/>
      </w:pPr>
      <w:rPr>
        <w:rFonts w:ascii="Wingdings" w:hAnsi="Wingdings" w:hint="default"/>
      </w:rPr>
    </w:lvl>
    <w:lvl w:ilvl="1" w:tplc="14090003" w:tentative="1">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11" w15:restartNumberingAfterBreak="0">
    <w:nsid w:val="390C3036"/>
    <w:multiLevelType w:val="hybridMultilevel"/>
    <w:tmpl w:val="63A8A5BA"/>
    <w:lvl w:ilvl="0" w:tplc="1409000B">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A8A0B0D"/>
    <w:multiLevelType w:val="hybridMultilevel"/>
    <w:tmpl w:val="69F66522"/>
    <w:lvl w:ilvl="0" w:tplc="14090001">
      <w:start w:val="1"/>
      <w:numFmt w:val="bullet"/>
      <w:lvlText w:val=""/>
      <w:lvlJc w:val="left"/>
      <w:pPr>
        <w:ind w:left="840" w:hanging="360"/>
      </w:pPr>
      <w:rPr>
        <w:rFonts w:ascii="Symbol" w:hAnsi="Symbol" w:hint="default"/>
      </w:rPr>
    </w:lvl>
    <w:lvl w:ilvl="1" w:tplc="14090003" w:tentative="1">
      <w:start w:val="1"/>
      <w:numFmt w:val="bullet"/>
      <w:lvlText w:val="o"/>
      <w:lvlJc w:val="left"/>
      <w:pPr>
        <w:ind w:left="1560" w:hanging="360"/>
      </w:pPr>
      <w:rPr>
        <w:rFonts w:ascii="Courier New" w:hAnsi="Courier New" w:cs="Courier New" w:hint="default"/>
      </w:rPr>
    </w:lvl>
    <w:lvl w:ilvl="2" w:tplc="14090005" w:tentative="1">
      <w:start w:val="1"/>
      <w:numFmt w:val="bullet"/>
      <w:lvlText w:val=""/>
      <w:lvlJc w:val="left"/>
      <w:pPr>
        <w:ind w:left="2280" w:hanging="360"/>
      </w:pPr>
      <w:rPr>
        <w:rFonts w:ascii="Wingdings" w:hAnsi="Wingdings" w:hint="default"/>
      </w:rPr>
    </w:lvl>
    <w:lvl w:ilvl="3" w:tplc="14090001" w:tentative="1">
      <w:start w:val="1"/>
      <w:numFmt w:val="bullet"/>
      <w:lvlText w:val=""/>
      <w:lvlJc w:val="left"/>
      <w:pPr>
        <w:ind w:left="3000" w:hanging="360"/>
      </w:pPr>
      <w:rPr>
        <w:rFonts w:ascii="Symbol" w:hAnsi="Symbol" w:hint="default"/>
      </w:rPr>
    </w:lvl>
    <w:lvl w:ilvl="4" w:tplc="14090003" w:tentative="1">
      <w:start w:val="1"/>
      <w:numFmt w:val="bullet"/>
      <w:lvlText w:val="o"/>
      <w:lvlJc w:val="left"/>
      <w:pPr>
        <w:ind w:left="3720" w:hanging="360"/>
      </w:pPr>
      <w:rPr>
        <w:rFonts w:ascii="Courier New" w:hAnsi="Courier New" w:cs="Courier New" w:hint="default"/>
      </w:rPr>
    </w:lvl>
    <w:lvl w:ilvl="5" w:tplc="14090005" w:tentative="1">
      <w:start w:val="1"/>
      <w:numFmt w:val="bullet"/>
      <w:lvlText w:val=""/>
      <w:lvlJc w:val="left"/>
      <w:pPr>
        <w:ind w:left="4440" w:hanging="360"/>
      </w:pPr>
      <w:rPr>
        <w:rFonts w:ascii="Wingdings" w:hAnsi="Wingdings" w:hint="default"/>
      </w:rPr>
    </w:lvl>
    <w:lvl w:ilvl="6" w:tplc="14090001" w:tentative="1">
      <w:start w:val="1"/>
      <w:numFmt w:val="bullet"/>
      <w:lvlText w:val=""/>
      <w:lvlJc w:val="left"/>
      <w:pPr>
        <w:ind w:left="5160" w:hanging="360"/>
      </w:pPr>
      <w:rPr>
        <w:rFonts w:ascii="Symbol" w:hAnsi="Symbol" w:hint="default"/>
      </w:rPr>
    </w:lvl>
    <w:lvl w:ilvl="7" w:tplc="14090003" w:tentative="1">
      <w:start w:val="1"/>
      <w:numFmt w:val="bullet"/>
      <w:lvlText w:val="o"/>
      <w:lvlJc w:val="left"/>
      <w:pPr>
        <w:ind w:left="5880" w:hanging="360"/>
      </w:pPr>
      <w:rPr>
        <w:rFonts w:ascii="Courier New" w:hAnsi="Courier New" w:cs="Courier New" w:hint="default"/>
      </w:rPr>
    </w:lvl>
    <w:lvl w:ilvl="8" w:tplc="14090005" w:tentative="1">
      <w:start w:val="1"/>
      <w:numFmt w:val="bullet"/>
      <w:lvlText w:val=""/>
      <w:lvlJc w:val="left"/>
      <w:pPr>
        <w:ind w:left="6600" w:hanging="360"/>
      </w:pPr>
      <w:rPr>
        <w:rFonts w:ascii="Wingdings" w:hAnsi="Wingdings" w:hint="default"/>
      </w:rPr>
    </w:lvl>
  </w:abstractNum>
  <w:abstractNum w:abstractNumId="13" w15:restartNumberingAfterBreak="0">
    <w:nsid w:val="3AA34723"/>
    <w:multiLevelType w:val="multilevel"/>
    <w:tmpl w:val="C68A14F6"/>
    <w:lvl w:ilvl="0">
      <w:start w:val="1"/>
      <w:numFmt w:val="decimal"/>
      <w:pStyle w:val="SSCNumbering1"/>
      <w:lvlText w:val="%1"/>
      <w:lvlJc w:val="left"/>
      <w:pPr>
        <w:tabs>
          <w:tab w:val="num" w:pos="567"/>
        </w:tabs>
        <w:ind w:left="567" w:hanging="567"/>
      </w:pPr>
      <w:rPr>
        <w:rFonts w:cs="Times New Roman" w:hint="default"/>
      </w:rPr>
    </w:lvl>
    <w:lvl w:ilvl="1">
      <w:start w:val="1"/>
      <w:numFmt w:val="decimal"/>
      <w:pStyle w:val="SSCNumbering2"/>
      <w:lvlText w:val="%1.%2"/>
      <w:lvlJc w:val="left"/>
      <w:pPr>
        <w:tabs>
          <w:tab w:val="num" w:pos="1134"/>
        </w:tabs>
        <w:ind w:left="1134" w:hanging="567"/>
      </w:pPr>
      <w:rPr>
        <w:rFonts w:cs="Times New Roman" w:hint="default"/>
      </w:rPr>
    </w:lvl>
    <w:lvl w:ilvl="2">
      <w:start w:val="1"/>
      <w:numFmt w:val="decimal"/>
      <w:pStyle w:val="SSCNumbering3"/>
      <w:lvlText w:val="%1.%2.%3"/>
      <w:lvlJc w:val="left"/>
      <w:pPr>
        <w:tabs>
          <w:tab w:val="num" w:pos="1985"/>
        </w:tabs>
        <w:ind w:left="1985" w:hanging="851"/>
      </w:pPr>
      <w:rPr>
        <w:rFonts w:cs="Times New Roman" w:hint="default"/>
      </w:rPr>
    </w:lvl>
    <w:lvl w:ilvl="3">
      <w:start w:val="1"/>
      <w:numFmt w:val="decimal"/>
      <w:lvlText w:val="%1.%2.%3.%4."/>
      <w:lvlJc w:val="left"/>
      <w:pPr>
        <w:tabs>
          <w:tab w:val="num" w:pos="3240"/>
        </w:tabs>
        <w:ind w:left="1728" w:hanging="648"/>
      </w:pPr>
      <w:rPr>
        <w:rFonts w:cs="Times New Roman" w:hint="default"/>
      </w:rPr>
    </w:lvl>
    <w:lvl w:ilvl="4">
      <w:start w:val="1"/>
      <w:numFmt w:val="decimal"/>
      <w:lvlText w:val="%1.%2.%3.%4.%5."/>
      <w:lvlJc w:val="left"/>
      <w:pPr>
        <w:tabs>
          <w:tab w:val="num" w:pos="4320"/>
        </w:tabs>
        <w:ind w:left="2232" w:hanging="792"/>
      </w:pPr>
      <w:rPr>
        <w:rFonts w:cs="Times New Roman" w:hint="default"/>
      </w:rPr>
    </w:lvl>
    <w:lvl w:ilvl="5">
      <w:start w:val="1"/>
      <w:numFmt w:val="decimal"/>
      <w:lvlText w:val="%1.%2.%3.%4.%5.%6."/>
      <w:lvlJc w:val="left"/>
      <w:pPr>
        <w:tabs>
          <w:tab w:val="num" w:pos="5040"/>
        </w:tabs>
        <w:ind w:left="2736" w:hanging="936"/>
      </w:pPr>
      <w:rPr>
        <w:rFonts w:cs="Times New Roman" w:hint="default"/>
      </w:rPr>
    </w:lvl>
    <w:lvl w:ilvl="6">
      <w:start w:val="1"/>
      <w:numFmt w:val="decimal"/>
      <w:lvlText w:val="%1.%2.%3.%4.%5.%6.%7."/>
      <w:lvlJc w:val="left"/>
      <w:pPr>
        <w:tabs>
          <w:tab w:val="num" w:pos="5760"/>
        </w:tabs>
        <w:ind w:left="3240" w:hanging="1080"/>
      </w:pPr>
      <w:rPr>
        <w:rFonts w:cs="Times New Roman" w:hint="default"/>
      </w:rPr>
    </w:lvl>
    <w:lvl w:ilvl="7">
      <w:start w:val="1"/>
      <w:numFmt w:val="decimal"/>
      <w:lvlText w:val="%1.%2.%3.%4.%5.%6.%7.%8."/>
      <w:lvlJc w:val="left"/>
      <w:pPr>
        <w:tabs>
          <w:tab w:val="num" w:pos="6840"/>
        </w:tabs>
        <w:ind w:left="3744" w:hanging="1224"/>
      </w:pPr>
      <w:rPr>
        <w:rFonts w:cs="Times New Roman" w:hint="default"/>
      </w:rPr>
    </w:lvl>
    <w:lvl w:ilvl="8">
      <w:start w:val="1"/>
      <w:numFmt w:val="decimal"/>
      <w:lvlText w:val="%1.%2.%3.%4.%5.%6.%7.%8.%9."/>
      <w:lvlJc w:val="left"/>
      <w:pPr>
        <w:tabs>
          <w:tab w:val="num" w:pos="7560"/>
        </w:tabs>
        <w:ind w:left="4320" w:hanging="1440"/>
      </w:pPr>
      <w:rPr>
        <w:rFonts w:cs="Times New Roman" w:hint="default"/>
      </w:rPr>
    </w:lvl>
  </w:abstractNum>
  <w:abstractNum w:abstractNumId="14" w15:restartNumberingAfterBreak="0">
    <w:nsid w:val="3ECF402C"/>
    <w:multiLevelType w:val="hybridMultilevel"/>
    <w:tmpl w:val="EE8407C4"/>
    <w:lvl w:ilvl="0" w:tplc="FFFFFFFF">
      <w:start w:val="1"/>
      <w:numFmt w:val="bullet"/>
      <w:pStyle w:val="TableBullet2"/>
      <w:lvlText w:val="-"/>
      <w:lvlJc w:val="left"/>
      <w:pPr>
        <w:tabs>
          <w:tab w:val="num" w:pos="851"/>
        </w:tabs>
        <w:ind w:left="851" w:hanging="426"/>
      </w:pPr>
      <w:rPr>
        <w:rFonts w:ascii="Times New Roman" w:hAnsi="Times New Roman"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9032A2"/>
    <w:multiLevelType w:val="hybridMultilevel"/>
    <w:tmpl w:val="70EC88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DFF0793"/>
    <w:multiLevelType w:val="hybridMultilevel"/>
    <w:tmpl w:val="6C0EEC14"/>
    <w:lvl w:ilvl="0" w:tplc="14090005">
      <w:start w:val="1"/>
      <w:numFmt w:val="bullet"/>
      <w:lvlText w:val=""/>
      <w:lvlJc w:val="left"/>
      <w:pPr>
        <w:ind w:left="840" w:hanging="360"/>
      </w:pPr>
      <w:rPr>
        <w:rFonts w:ascii="Wingdings" w:hAnsi="Wingdings" w:hint="default"/>
      </w:rPr>
    </w:lvl>
    <w:lvl w:ilvl="1" w:tplc="14090003" w:tentative="1">
      <w:start w:val="1"/>
      <w:numFmt w:val="bullet"/>
      <w:lvlText w:val="o"/>
      <w:lvlJc w:val="left"/>
      <w:pPr>
        <w:ind w:left="1560" w:hanging="360"/>
      </w:pPr>
      <w:rPr>
        <w:rFonts w:ascii="Courier New" w:hAnsi="Courier New" w:cs="Courier New" w:hint="default"/>
      </w:rPr>
    </w:lvl>
    <w:lvl w:ilvl="2" w:tplc="14090005" w:tentative="1">
      <w:start w:val="1"/>
      <w:numFmt w:val="bullet"/>
      <w:lvlText w:val=""/>
      <w:lvlJc w:val="left"/>
      <w:pPr>
        <w:ind w:left="2280" w:hanging="360"/>
      </w:pPr>
      <w:rPr>
        <w:rFonts w:ascii="Wingdings" w:hAnsi="Wingdings" w:hint="default"/>
      </w:rPr>
    </w:lvl>
    <w:lvl w:ilvl="3" w:tplc="14090001" w:tentative="1">
      <w:start w:val="1"/>
      <w:numFmt w:val="bullet"/>
      <w:lvlText w:val=""/>
      <w:lvlJc w:val="left"/>
      <w:pPr>
        <w:ind w:left="3000" w:hanging="360"/>
      </w:pPr>
      <w:rPr>
        <w:rFonts w:ascii="Symbol" w:hAnsi="Symbol" w:hint="default"/>
      </w:rPr>
    </w:lvl>
    <w:lvl w:ilvl="4" w:tplc="14090003" w:tentative="1">
      <w:start w:val="1"/>
      <w:numFmt w:val="bullet"/>
      <w:lvlText w:val="o"/>
      <w:lvlJc w:val="left"/>
      <w:pPr>
        <w:ind w:left="3720" w:hanging="360"/>
      </w:pPr>
      <w:rPr>
        <w:rFonts w:ascii="Courier New" w:hAnsi="Courier New" w:cs="Courier New" w:hint="default"/>
      </w:rPr>
    </w:lvl>
    <w:lvl w:ilvl="5" w:tplc="14090005" w:tentative="1">
      <w:start w:val="1"/>
      <w:numFmt w:val="bullet"/>
      <w:lvlText w:val=""/>
      <w:lvlJc w:val="left"/>
      <w:pPr>
        <w:ind w:left="4440" w:hanging="360"/>
      </w:pPr>
      <w:rPr>
        <w:rFonts w:ascii="Wingdings" w:hAnsi="Wingdings" w:hint="default"/>
      </w:rPr>
    </w:lvl>
    <w:lvl w:ilvl="6" w:tplc="14090001" w:tentative="1">
      <w:start w:val="1"/>
      <w:numFmt w:val="bullet"/>
      <w:lvlText w:val=""/>
      <w:lvlJc w:val="left"/>
      <w:pPr>
        <w:ind w:left="5160" w:hanging="360"/>
      </w:pPr>
      <w:rPr>
        <w:rFonts w:ascii="Symbol" w:hAnsi="Symbol" w:hint="default"/>
      </w:rPr>
    </w:lvl>
    <w:lvl w:ilvl="7" w:tplc="14090003" w:tentative="1">
      <w:start w:val="1"/>
      <w:numFmt w:val="bullet"/>
      <w:lvlText w:val="o"/>
      <w:lvlJc w:val="left"/>
      <w:pPr>
        <w:ind w:left="5880" w:hanging="360"/>
      </w:pPr>
      <w:rPr>
        <w:rFonts w:ascii="Courier New" w:hAnsi="Courier New" w:cs="Courier New" w:hint="default"/>
      </w:rPr>
    </w:lvl>
    <w:lvl w:ilvl="8" w:tplc="14090005" w:tentative="1">
      <w:start w:val="1"/>
      <w:numFmt w:val="bullet"/>
      <w:lvlText w:val=""/>
      <w:lvlJc w:val="left"/>
      <w:pPr>
        <w:ind w:left="6600" w:hanging="360"/>
      </w:pPr>
      <w:rPr>
        <w:rFonts w:ascii="Wingdings" w:hAnsi="Wingdings" w:hint="default"/>
      </w:rPr>
    </w:lvl>
  </w:abstractNum>
  <w:abstractNum w:abstractNumId="17" w15:restartNumberingAfterBreak="0">
    <w:nsid w:val="57EC3604"/>
    <w:multiLevelType w:val="hybridMultilevel"/>
    <w:tmpl w:val="D0F24B6A"/>
    <w:lvl w:ilvl="0" w:tplc="1409000B">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58161C91"/>
    <w:multiLevelType w:val="hybridMultilevel"/>
    <w:tmpl w:val="3F342A7E"/>
    <w:lvl w:ilvl="0" w:tplc="81CCD292">
      <w:numFmt w:val="bullet"/>
      <w:lvlText w:val="-"/>
      <w:lvlJc w:val="left"/>
      <w:pPr>
        <w:ind w:left="1074" w:hanging="360"/>
      </w:pPr>
      <w:rPr>
        <w:rFonts w:ascii="Times New Roman" w:eastAsia="Arial Unicode MS" w:hAnsi="Times New Roman" w:cs="Times New Roman" w:hint="default"/>
      </w:rPr>
    </w:lvl>
    <w:lvl w:ilvl="1" w:tplc="14090003" w:tentative="1">
      <w:start w:val="1"/>
      <w:numFmt w:val="bullet"/>
      <w:lvlText w:val="o"/>
      <w:lvlJc w:val="left"/>
      <w:pPr>
        <w:ind w:left="1794" w:hanging="360"/>
      </w:pPr>
      <w:rPr>
        <w:rFonts w:ascii="Courier New" w:hAnsi="Courier New" w:cs="Courier New" w:hint="default"/>
      </w:rPr>
    </w:lvl>
    <w:lvl w:ilvl="2" w:tplc="14090005" w:tentative="1">
      <w:start w:val="1"/>
      <w:numFmt w:val="bullet"/>
      <w:lvlText w:val=""/>
      <w:lvlJc w:val="left"/>
      <w:pPr>
        <w:ind w:left="2514" w:hanging="360"/>
      </w:pPr>
      <w:rPr>
        <w:rFonts w:ascii="Wingdings" w:hAnsi="Wingdings" w:hint="default"/>
      </w:rPr>
    </w:lvl>
    <w:lvl w:ilvl="3" w:tplc="14090001" w:tentative="1">
      <w:start w:val="1"/>
      <w:numFmt w:val="bullet"/>
      <w:lvlText w:val=""/>
      <w:lvlJc w:val="left"/>
      <w:pPr>
        <w:ind w:left="3234" w:hanging="360"/>
      </w:pPr>
      <w:rPr>
        <w:rFonts w:ascii="Symbol" w:hAnsi="Symbol" w:hint="default"/>
      </w:rPr>
    </w:lvl>
    <w:lvl w:ilvl="4" w:tplc="14090003" w:tentative="1">
      <w:start w:val="1"/>
      <w:numFmt w:val="bullet"/>
      <w:lvlText w:val="o"/>
      <w:lvlJc w:val="left"/>
      <w:pPr>
        <w:ind w:left="3954" w:hanging="360"/>
      </w:pPr>
      <w:rPr>
        <w:rFonts w:ascii="Courier New" w:hAnsi="Courier New" w:cs="Courier New" w:hint="default"/>
      </w:rPr>
    </w:lvl>
    <w:lvl w:ilvl="5" w:tplc="14090005" w:tentative="1">
      <w:start w:val="1"/>
      <w:numFmt w:val="bullet"/>
      <w:lvlText w:val=""/>
      <w:lvlJc w:val="left"/>
      <w:pPr>
        <w:ind w:left="4674" w:hanging="360"/>
      </w:pPr>
      <w:rPr>
        <w:rFonts w:ascii="Wingdings" w:hAnsi="Wingdings" w:hint="default"/>
      </w:rPr>
    </w:lvl>
    <w:lvl w:ilvl="6" w:tplc="14090001" w:tentative="1">
      <w:start w:val="1"/>
      <w:numFmt w:val="bullet"/>
      <w:lvlText w:val=""/>
      <w:lvlJc w:val="left"/>
      <w:pPr>
        <w:ind w:left="5394" w:hanging="360"/>
      </w:pPr>
      <w:rPr>
        <w:rFonts w:ascii="Symbol" w:hAnsi="Symbol" w:hint="default"/>
      </w:rPr>
    </w:lvl>
    <w:lvl w:ilvl="7" w:tplc="14090003" w:tentative="1">
      <w:start w:val="1"/>
      <w:numFmt w:val="bullet"/>
      <w:lvlText w:val="o"/>
      <w:lvlJc w:val="left"/>
      <w:pPr>
        <w:ind w:left="6114" w:hanging="360"/>
      </w:pPr>
      <w:rPr>
        <w:rFonts w:ascii="Courier New" w:hAnsi="Courier New" w:cs="Courier New" w:hint="default"/>
      </w:rPr>
    </w:lvl>
    <w:lvl w:ilvl="8" w:tplc="14090005" w:tentative="1">
      <w:start w:val="1"/>
      <w:numFmt w:val="bullet"/>
      <w:lvlText w:val=""/>
      <w:lvlJc w:val="left"/>
      <w:pPr>
        <w:ind w:left="6834" w:hanging="360"/>
      </w:pPr>
      <w:rPr>
        <w:rFonts w:ascii="Wingdings" w:hAnsi="Wingdings" w:hint="default"/>
      </w:rPr>
    </w:lvl>
  </w:abstractNum>
  <w:abstractNum w:abstractNumId="19" w15:restartNumberingAfterBreak="0">
    <w:nsid w:val="5843393F"/>
    <w:multiLevelType w:val="singleLevel"/>
    <w:tmpl w:val="6E7298A8"/>
    <w:lvl w:ilvl="0">
      <w:start w:val="1"/>
      <w:numFmt w:val="bullet"/>
      <w:pStyle w:val="SSCbullet"/>
      <w:lvlText w:val=""/>
      <w:lvlJc w:val="left"/>
      <w:pPr>
        <w:tabs>
          <w:tab w:val="num" w:pos="567"/>
        </w:tabs>
        <w:ind w:left="567" w:hanging="567"/>
      </w:pPr>
      <w:rPr>
        <w:rFonts w:ascii="Symbol" w:hAnsi="Symbol" w:hint="default"/>
        <w:sz w:val="20"/>
      </w:rPr>
    </w:lvl>
  </w:abstractNum>
  <w:abstractNum w:abstractNumId="20" w15:restartNumberingAfterBreak="0">
    <w:nsid w:val="5F97686D"/>
    <w:multiLevelType w:val="hybridMultilevel"/>
    <w:tmpl w:val="DE70258C"/>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607C4BFB"/>
    <w:multiLevelType w:val="hybridMultilevel"/>
    <w:tmpl w:val="9850E3A6"/>
    <w:lvl w:ilvl="0" w:tplc="784EA3FE">
      <w:start w:val="1"/>
      <w:numFmt w:val="bullet"/>
      <w:pStyle w:val="SSCBullet3"/>
      <w:lvlText w:val="-"/>
      <w:lvlJc w:val="left"/>
      <w:pPr>
        <w:tabs>
          <w:tab w:val="num" w:pos="1701"/>
        </w:tabs>
        <w:ind w:left="1701" w:hanging="567"/>
      </w:pPr>
      <w:rPr>
        <w:rFonts w:ascii="Times New Roman" w:hAnsi="Times New Roman"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2720A46"/>
    <w:multiLevelType w:val="hybridMultilevel"/>
    <w:tmpl w:val="80F247E6"/>
    <w:lvl w:ilvl="0" w:tplc="D250DEDE">
      <w:start w:val="1"/>
      <w:numFmt w:val="decimal"/>
      <w:pStyle w:val="Number"/>
      <w:lvlText w:val="%1."/>
      <w:lvlJc w:val="left"/>
      <w:pPr>
        <w:tabs>
          <w:tab w:val="num" w:pos="567"/>
        </w:tabs>
        <w:ind w:left="567" w:hanging="567"/>
      </w:pPr>
      <w:rPr>
        <w:rFonts w:ascii="Arial" w:hAnsi="Arial" w:cs="Times New Roman" w:hint="default"/>
        <w:b w:val="0"/>
        <w:i w:val="0"/>
        <w:color w:val="auto"/>
        <w:sz w:val="20"/>
        <w:szCs w:val="20"/>
      </w:rPr>
    </w:lvl>
    <w:lvl w:ilvl="1" w:tplc="08090019" w:tentative="1">
      <w:start w:val="1"/>
      <w:numFmt w:val="lowerLetter"/>
      <w:lvlText w:val="%2."/>
      <w:lvlJc w:val="left"/>
      <w:pPr>
        <w:tabs>
          <w:tab w:val="num" w:pos="873"/>
        </w:tabs>
        <w:ind w:left="873" w:hanging="360"/>
      </w:pPr>
      <w:rPr>
        <w:rFonts w:cs="Times New Roman"/>
      </w:rPr>
    </w:lvl>
    <w:lvl w:ilvl="2" w:tplc="0809001B" w:tentative="1">
      <w:start w:val="1"/>
      <w:numFmt w:val="lowerRoman"/>
      <w:lvlText w:val="%3."/>
      <w:lvlJc w:val="right"/>
      <w:pPr>
        <w:tabs>
          <w:tab w:val="num" w:pos="1593"/>
        </w:tabs>
        <w:ind w:left="1593" w:hanging="180"/>
      </w:pPr>
      <w:rPr>
        <w:rFonts w:cs="Times New Roman"/>
      </w:rPr>
    </w:lvl>
    <w:lvl w:ilvl="3" w:tplc="0809000F" w:tentative="1">
      <w:start w:val="1"/>
      <w:numFmt w:val="decimal"/>
      <w:lvlText w:val="%4."/>
      <w:lvlJc w:val="left"/>
      <w:pPr>
        <w:tabs>
          <w:tab w:val="num" w:pos="2313"/>
        </w:tabs>
        <w:ind w:left="2313" w:hanging="360"/>
      </w:pPr>
      <w:rPr>
        <w:rFonts w:cs="Times New Roman"/>
      </w:rPr>
    </w:lvl>
    <w:lvl w:ilvl="4" w:tplc="08090019" w:tentative="1">
      <w:start w:val="1"/>
      <w:numFmt w:val="lowerLetter"/>
      <w:lvlText w:val="%5."/>
      <w:lvlJc w:val="left"/>
      <w:pPr>
        <w:tabs>
          <w:tab w:val="num" w:pos="3033"/>
        </w:tabs>
        <w:ind w:left="3033" w:hanging="360"/>
      </w:pPr>
      <w:rPr>
        <w:rFonts w:cs="Times New Roman"/>
      </w:rPr>
    </w:lvl>
    <w:lvl w:ilvl="5" w:tplc="0809001B" w:tentative="1">
      <w:start w:val="1"/>
      <w:numFmt w:val="lowerRoman"/>
      <w:lvlText w:val="%6."/>
      <w:lvlJc w:val="right"/>
      <w:pPr>
        <w:tabs>
          <w:tab w:val="num" w:pos="3753"/>
        </w:tabs>
        <w:ind w:left="3753" w:hanging="180"/>
      </w:pPr>
      <w:rPr>
        <w:rFonts w:cs="Times New Roman"/>
      </w:rPr>
    </w:lvl>
    <w:lvl w:ilvl="6" w:tplc="0809000F" w:tentative="1">
      <w:start w:val="1"/>
      <w:numFmt w:val="decimal"/>
      <w:lvlText w:val="%7."/>
      <w:lvlJc w:val="left"/>
      <w:pPr>
        <w:tabs>
          <w:tab w:val="num" w:pos="4473"/>
        </w:tabs>
        <w:ind w:left="4473" w:hanging="360"/>
      </w:pPr>
      <w:rPr>
        <w:rFonts w:cs="Times New Roman"/>
      </w:rPr>
    </w:lvl>
    <w:lvl w:ilvl="7" w:tplc="08090019" w:tentative="1">
      <w:start w:val="1"/>
      <w:numFmt w:val="lowerLetter"/>
      <w:lvlText w:val="%8."/>
      <w:lvlJc w:val="left"/>
      <w:pPr>
        <w:tabs>
          <w:tab w:val="num" w:pos="5193"/>
        </w:tabs>
        <w:ind w:left="5193" w:hanging="360"/>
      </w:pPr>
      <w:rPr>
        <w:rFonts w:cs="Times New Roman"/>
      </w:rPr>
    </w:lvl>
    <w:lvl w:ilvl="8" w:tplc="0809001B" w:tentative="1">
      <w:start w:val="1"/>
      <w:numFmt w:val="lowerRoman"/>
      <w:lvlText w:val="%9."/>
      <w:lvlJc w:val="right"/>
      <w:pPr>
        <w:tabs>
          <w:tab w:val="num" w:pos="5913"/>
        </w:tabs>
        <w:ind w:left="5913" w:hanging="180"/>
      </w:pPr>
      <w:rPr>
        <w:rFonts w:cs="Times New Roman"/>
      </w:rPr>
    </w:lvl>
  </w:abstractNum>
  <w:abstractNum w:abstractNumId="23" w15:restartNumberingAfterBreak="0">
    <w:nsid w:val="6BC41D46"/>
    <w:multiLevelType w:val="hybridMultilevel"/>
    <w:tmpl w:val="7A94E450"/>
    <w:lvl w:ilvl="0" w:tplc="1409000B">
      <w:start w:val="1"/>
      <w:numFmt w:val="bullet"/>
      <w:lvlText w:val=""/>
      <w:lvlJc w:val="left"/>
      <w:pPr>
        <w:ind w:left="780" w:hanging="360"/>
      </w:pPr>
      <w:rPr>
        <w:rFonts w:ascii="Wingdings" w:hAnsi="Wingdings"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24" w15:restartNumberingAfterBreak="0">
    <w:nsid w:val="6DAB0BEE"/>
    <w:multiLevelType w:val="hybridMultilevel"/>
    <w:tmpl w:val="943A0B5E"/>
    <w:lvl w:ilvl="0" w:tplc="14090005">
      <w:start w:val="1"/>
      <w:numFmt w:val="bullet"/>
      <w:lvlText w:val=""/>
      <w:lvlJc w:val="left"/>
      <w:pPr>
        <w:ind w:left="1077" w:hanging="360"/>
      </w:pPr>
      <w:rPr>
        <w:rFonts w:ascii="Wingdings" w:hAnsi="Wingdings" w:hint="default"/>
      </w:rPr>
    </w:lvl>
    <w:lvl w:ilvl="1" w:tplc="14090003" w:tentative="1">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25" w15:restartNumberingAfterBreak="0">
    <w:nsid w:val="74F22EA5"/>
    <w:multiLevelType w:val="hybridMultilevel"/>
    <w:tmpl w:val="486E1564"/>
    <w:lvl w:ilvl="0" w:tplc="87621FAE">
      <w:start w:val="1"/>
      <w:numFmt w:val="bullet"/>
      <w:pStyle w:val="bulletpoints"/>
      <w:lvlText w:val=""/>
      <w:lvlJc w:val="left"/>
      <w:pPr>
        <w:tabs>
          <w:tab w:val="num" w:pos="624"/>
        </w:tabs>
        <w:ind w:left="624" w:hanging="340"/>
      </w:pPr>
      <w:rPr>
        <w:rFonts w:ascii="Symbol" w:hAnsi="Symbol" w:hint="default"/>
      </w:rPr>
    </w:lvl>
    <w:lvl w:ilvl="1" w:tplc="14090003" w:tentative="1">
      <w:start w:val="1"/>
      <w:numFmt w:val="bullet"/>
      <w:lvlText w:val="o"/>
      <w:lvlJc w:val="left"/>
      <w:pPr>
        <w:tabs>
          <w:tab w:val="num" w:pos="1440"/>
        </w:tabs>
        <w:ind w:left="1440" w:hanging="360"/>
      </w:pPr>
      <w:rPr>
        <w:rFonts w:ascii="Courier New" w:hAnsi="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5191225"/>
    <w:multiLevelType w:val="hybridMultilevel"/>
    <w:tmpl w:val="6CD0D984"/>
    <w:lvl w:ilvl="0" w:tplc="17F0BA06">
      <w:start w:val="1"/>
      <w:numFmt w:val="bullet"/>
      <w:lvlText w:val="-"/>
      <w:lvlJc w:val="left"/>
      <w:pPr>
        <w:ind w:left="1146" w:hanging="360"/>
      </w:pPr>
      <w:rPr>
        <w:rFonts w:ascii="Calibri" w:eastAsia="Calibri" w:hAnsi="Calibri" w:cs="Times New Roman"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27" w15:restartNumberingAfterBreak="0">
    <w:nsid w:val="7A666CA6"/>
    <w:multiLevelType w:val="hybridMultilevel"/>
    <w:tmpl w:val="628A9E7E"/>
    <w:lvl w:ilvl="0" w:tplc="1409000B">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7C1218D3"/>
    <w:multiLevelType w:val="singleLevel"/>
    <w:tmpl w:val="50BC9C9C"/>
    <w:lvl w:ilvl="0">
      <w:start w:val="1"/>
      <w:numFmt w:val="bullet"/>
      <w:pStyle w:val="Bullet"/>
      <w:lvlText w:val=""/>
      <w:lvlJc w:val="left"/>
      <w:pPr>
        <w:tabs>
          <w:tab w:val="num" w:pos="284"/>
        </w:tabs>
        <w:ind w:left="284" w:hanging="284"/>
      </w:pPr>
      <w:rPr>
        <w:rFonts w:ascii="Symbol" w:hAnsi="Symbol" w:hint="default"/>
        <w:color w:val="004288"/>
        <w:sz w:val="18"/>
      </w:rPr>
    </w:lvl>
  </w:abstractNum>
  <w:abstractNum w:abstractNumId="29" w15:restartNumberingAfterBreak="0">
    <w:nsid w:val="7C81404D"/>
    <w:multiLevelType w:val="hybridMultilevel"/>
    <w:tmpl w:val="78387B52"/>
    <w:lvl w:ilvl="0" w:tplc="1409000B">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DAF770E"/>
    <w:multiLevelType w:val="hybridMultilevel"/>
    <w:tmpl w:val="2CD444D0"/>
    <w:lvl w:ilvl="0" w:tplc="14090005">
      <w:start w:val="1"/>
      <w:numFmt w:val="bullet"/>
      <w:lvlText w:val=""/>
      <w:lvlJc w:val="left"/>
      <w:pPr>
        <w:ind w:left="1077" w:hanging="360"/>
      </w:pPr>
      <w:rPr>
        <w:rFonts w:ascii="Wingdings" w:hAnsi="Wingdings" w:hint="default"/>
      </w:rPr>
    </w:lvl>
    <w:lvl w:ilvl="1" w:tplc="14090003" w:tentative="1">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31" w15:restartNumberingAfterBreak="0">
    <w:nsid w:val="7E2073F7"/>
    <w:multiLevelType w:val="hybridMultilevel"/>
    <w:tmpl w:val="597EA6DA"/>
    <w:lvl w:ilvl="0" w:tplc="1409000B">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7FCB6514"/>
    <w:multiLevelType w:val="hybridMultilevel"/>
    <w:tmpl w:val="DD720C98"/>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9"/>
  </w:num>
  <w:num w:numId="4">
    <w:abstractNumId w:val="9"/>
  </w:num>
  <w:num w:numId="5">
    <w:abstractNumId w:val="13"/>
  </w:num>
  <w:num w:numId="6">
    <w:abstractNumId w:val="7"/>
  </w:num>
  <w:num w:numId="7">
    <w:abstractNumId w:val="14"/>
  </w:num>
  <w:num w:numId="8">
    <w:abstractNumId w:val="21"/>
  </w:num>
  <w:num w:numId="9">
    <w:abstractNumId w:val="25"/>
  </w:num>
  <w:num w:numId="10">
    <w:abstractNumId w:val="1"/>
  </w:num>
  <w:num w:numId="11">
    <w:abstractNumId w:val="28"/>
  </w:num>
  <w:num w:numId="12">
    <w:abstractNumId w:val="22"/>
  </w:num>
  <w:num w:numId="13">
    <w:abstractNumId w:val="17"/>
  </w:num>
  <w:num w:numId="14">
    <w:abstractNumId w:val="29"/>
  </w:num>
  <w:num w:numId="15">
    <w:abstractNumId w:val="11"/>
  </w:num>
  <w:num w:numId="16">
    <w:abstractNumId w:val="4"/>
  </w:num>
  <w:num w:numId="17">
    <w:abstractNumId w:val="27"/>
  </w:num>
  <w:num w:numId="18">
    <w:abstractNumId w:val="5"/>
  </w:num>
  <w:num w:numId="19">
    <w:abstractNumId w:val="6"/>
  </w:num>
  <w:num w:numId="20">
    <w:abstractNumId w:val="0"/>
  </w:num>
  <w:num w:numId="21">
    <w:abstractNumId w:val="18"/>
  </w:num>
  <w:num w:numId="22">
    <w:abstractNumId w:val="12"/>
  </w:num>
  <w:num w:numId="23">
    <w:abstractNumId w:val="31"/>
  </w:num>
  <w:num w:numId="24">
    <w:abstractNumId w:val="15"/>
  </w:num>
  <w:num w:numId="25">
    <w:abstractNumId w:val="23"/>
  </w:num>
  <w:num w:numId="26">
    <w:abstractNumId w:val="24"/>
  </w:num>
  <w:num w:numId="27">
    <w:abstractNumId w:val="30"/>
  </w:num>
  <w:num w:numId="28">
    <w:abstractNumId w:val="10"/>
  </w:num>
  <w:num w:numId="29">
    <w:abstractNumId w:val="20"/>
  </w:num>
  <w:num w:numId="30">
    <w:abstractNumId w:val="16"/>
  </w:num>
  <w:num w:numId="31">
    <w:abstractNumId w:val="32"/>
  </w:num>
  <w:num w:numId="32">
    <w:abstractNumId w:val="26"/>
  </w:num>
  <w:num w:numId="33">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AC9"/>
    <w:rsid w:val="000055DD"/>
    <w:rsid w:val="000163CB"/>
    <w:rsid w:val="00021159"/>
    <w:rsid w:val="00021193"/>
    <w:rsid w:val="00021C21"/>
    <w:rsid w:val="00023629"/>
    <w:rsid w:val="0002700B"/>
    <w:rsid w:val="00030972"/>
    <w:rsid w:val="00030B61"/>
    <w:rsid w:val="00030CCC"/>
    <w:rsid w:val="000314A2"/>
    <w:rsid w:val="0003585F"/>
    <w:rsid w:val="0003701A"/>
    <w:rsid w:val="0004783E"/>
    <w:rsid w:val="00053E4E"/>
    <w:rsid w:val="00054E60"/>
    <w:rsid w:val="0005594A"/>
    <w:rsid w:val="00056D8E"/>
    <w:rsid w:val="00060D2B"/>
    <w:rsid w:val="00063C29"/>
    <w:rsid w:val="0006616B"/>
    <w:rsid w:val="00066380"/>
    <w:rsid w:val="00071185"/>
    <w:rsid w:val="0007132D"/>
    <w:rsid w:val="0007279C"/>
    <w:rsid w:val="00075BF6"/>
    <w:rsid w:val="000763AB"/>
    <w:rsid w:val="000774C8"/>
    <w:rsid w:val="00080C81"/>
    <w:rsid w:val="00080DCE"/>
    <w:rsid w:val="000817E1"/>
    <w:rsid w:val="0008344E"/>
    <w:rsid w:val="000918D1"/>
    <w:rsid w:val="000A3E79"/>
    <w:rsid w:val="000A59BC"/>
    <w:rsid w:val="000A60FD"/>
    <w:rsid w:val="000A7B10"/>
    <w:rsid w:val="000A7C01"/>
    <w:rsid w:val="000B7F42"/>
    <w:rsid w:val="000C6281"/>
    <w:rsid w:val="000D1DC3"/>
    <w:rsid w:val="000E0165"/>
    <w:rsid w:val="000E6CB8"/>
    <w:rsid w:val="000F296F"/>
    <w:rsid w:val="000F6EA8"/>
    <w:rsid w:val="000F7D0B"/>
    <w:rsid w:val="0010166B"/>
    <w:rsid w:val="00112156"/>
    <w:rsid w:val="001136FF"/>
    <w:rsid w:val="001144F0"/>
    <w:rsid w:val="00115D09"/>
    <w:rsid w:val="0012705D"/>
    <w:rsid w:val="00132AFA"/>
    <w:rsid w:val="00133023"/>
    <w:rsid w:val="00136B8E"/>
    <w:rsid w:val="00137C8D"/>
    <w:rsid w:val="00142659"/>
    <w:rsid w:val="00143C22"/>
    <w:rsid w:val="0014592E"/>
    <w:rsid w:val="001551A4"/>
    <w:rsid w:val="00171D1D"/>
    <w:rsid w:val="001728C2"/>
    <w:rsid w:val="00172968"/>
    <w:rsid w:val="00174E75"/>
    <w:rsid w:val="0017504A"/>
    <w:rsid w:val="001806B2"/>
    <w:rsid w:val="00182697"/>
    <w:rsid w:val="00186C46"/>
    <w:rsid w:val="00193710"/>
    <w:rsid w:val="00195894"/>
    <w:rsid w:val="00197FC0"/>
    <w:rsid w:val="001A15EE"/>
    <w:rsid w:val="001A360D"/>
    <w:rsid w:val="001A42CC"/>
    <w:rsid w:val="001A58AA"/>
    <w:rsid w:val="001A799C"/>
    <w:rsid w:val="001B2544"/>
    <w:rsid w:val="001B58F6"/>
    <w:rsid w:val="001B5DBD"/>
    <w:rsid w:val="001B6C1A"/>
    <w:rsid w:val="001C0E0F"/>
    <w:rsid w:val="001C1F7C"/>
    <w:rsid w:val="001C43A8"/>
    <w:rsid w:val="001C5C86"/>
    <w:rsid w:val="001C700B"/>
    <w:rsid w:val="001D10F9"/>
    <w:rsid w:val="001D4066"/>
    <w:rsid w:val="001D4F0B"/>
    <w:rsid w:val="001E0E9C"/>
    <w:rsid w:val="001F2AEF"/>
    <w:rsid w:val="001F2D3B"/>
    <w:rsid w:val="001F316B"/>
    <w:rsid w:val="001F34CC"/>
    <w:rsid w:val="001F4670"/>
    <w:rsid w:val="00201CD3"/>
    <w:rsid w:val="00201F20"/>
    <w:rsid w:val="00207CE6"/>
    <w:rsid w:val="00212B98"/>
    <w:rsid w:val="0021759E"/>
    <w:rsid w:val="00217900"/>
    <w:rsid w:val="00220F11"/>
    <w:rsid w:val="00221BD5"/>
    <w:rsid w:val="00226F22"/>
    <w:rsid w:val="00227E31"/>
    <w:rsid w:val="00227FAC"/>
    <w:rsid w:val="00234C87"/>
    <w:rsid w:val="002350D9"/>
    <w:rsid w:val="002360F9"/>
    <w:rsid w:val="002400A7"/>
    <w:rsid w:val="00244310"/>
    <w:rsid w:val="002477C2"/>
    <w:rsid w:val="00250286"/>
    <w:rsid w:val="00252580"/>
    <w:rsid w:val="00252738"/>
    <w:rsid w:val="002569C6"/>
    <w:rsid w:val="0025728D"/>
    <w:rsid w:val="0026025C"/>
    <w:rsid w:val="00261815"/>
    <w:rsid w:val="00264777"/>
    <w:rsid w:val="0026485A"/>
    <w:rsid w:val="00266C93"/>
    <w:rsid w:val="00273722"/>
    <w:rsid w:val="00273808"/>
    <w:rsid w:val="00275BAE"/>
    <w:rsid w:val="002802D9"/>
    <w:rsid w:val="00287724"/>
    <w:rsid w:val="002905C3"/>
    <w:rsid w:val="00291296"/>
    <w:rsid w:val="00291386"/>
    <w:rsid w:val="00292581"/>
    <w:rsid w:val="00293CF0"/>
    <w:rsid w:val="002A2F79"/>
    <w:rsid w:val="002A597C"/>
    <w:rsid w:val="002A5CBD"/>
    <w:rsid w:val="002A6093"/>
    <w:rsid w:val="002A73FA"/>
    <w:rsid w:val="002A7DE9"/>
    <w:rsid w:val="002B05D2"/>
    <w:rsid w:val="002B2B71"/>
    <w:rsid w:val="002B3324"/>
    <w:rsid w:val="002B4B2A"/>
    <w:rsid w:val="002C1333"/>
    <w:rsid w:val="002C29BA"/>
    <w:rsid w:val="002C3F46"/>
    <w:rsid w:val="002D2354"/>
    <w:rsid w:val="002D3B17"/>
    <w:rsid w:val="002D45D4"/>
    <w:rsid w:val="002D7E09"/>
    <w:rsid w:val="002E0301"/>
    <w:rsid w:val="002E3168"/>
    <w:rsid w:val="002E5BD3"/>
    <w:rsid w:val="002E632D"/>
    <w:rsid w:val="002E7621"/>
    <w:rsid w:val="002E7F0B"/>
    <w:rsid w:val="002F5DA7"/>
    <w:rsid w:val="002F61BB"/>
    <w:rsid w:val="002F6DD5"/>
    <w:rsid w:val="002F7236"/>
    <w:rsid w:val="002F79C1"/>
    <w:rsid w:val="00300AF7"/>
    <w:rsid w:val="00300B49"/>
    <w:rsid w:val="00300E9B"/>
    <w:rsid w:val="00302A54"/>
    <w:rsid w:val="00305149"/>
    <w:rsid w:val="00305B77"/>
    <w:rsid w:val="00310C89"/>
    <w:rsid w:val="00312A13"/>
    <w:rsid w:val="003153AC"/>
    <w:rsid w:val="0031682A"/>
    <w:rsid w:val="00317F52"/>
    <w:rsid w:val="0032062F"/>
    <w:rsid w:val="0032260E"/>
    <w:rsid w:val="00323232"/>
    <w:rsid w:val="00324D4D"/>
    <w:rsid w:val="00326E09"/>
    <w:rsid w:val="00327160"/>
    <w:rsid w:val="00337C0A"/>
    <w:rsid w:val="003420F0"/>
    <w:rsid w:val="00345209"/>
    <w:rsid w:val="003460E9"/>
    <w:rsid w:val="00352F6F"/>
    <w:rsid w:val="0035735D"/>
    <w:rsid w:val="0035756A"/>
    <w:rsid w:val="00362C55"/>
    <w:rsid w:val="0036356E"/>
    <w:rsid w:val="00364FBD"/>
    <w:rsid w:val="003669F0"/>
    <w:rsid w:val="003717BF"/>
    <w:rsid w:val="00374A2F"/>
    <w:rsid w:val="00382EB0"/>
    <w:rsid w:val="00383557"/>
    <w:rsid w:val="00384C70"/>
    <w:rsid w:val="00384C8D"/>
    <w:rsid w:val="00387999"/>
    <w:rsid w:val="003905B5"/>
    <w:rsid w:val="003A113B"/>
    <w:rsid w:val="003A2AFC"/>
    <w:rsid w:val="003A3C8F"/>
    <w:rsid w:val="003A7C2E"/>
    <w:rsid w:val="003B0155"/>
    <w:rsid w:val="003C4917"/>
    <w:rsid w:val="003C6EF0"/>
    <w:rsid w:val="003D167A"/>
    <w:rsid w:val="003D25D3"/>
    <w:rsid w:val="003D75B1"/>
    <w:rsid w:val="003E1B0C"/>
    <w:rsid w:val="003E25B6"/>
    <w:rsid w:val="003E25C3"/>
    <w:rsid w:val="003F178C"/>
    <w:rsid w:val="003F21B2"/>
    <w:rsid w:val="003F381D"/>
    <w:rsid w:val="003F43CC"/>
    <w:rsid w:val="003F6916"/>
    <w:rsid w:val="003F6FD5"/>
    <w:rsid w:val="003F7093"/>
    <w:rsid w:val="003F73DB"/>
    <w:rsid w:val="003F743F"/>
    <w:rsid w:val="00402724"/>
    <w:rsid w:val="00403D2E"/>
    <w:rsid w:val="00404059"/>
    <w:rsid w:val="0041124C"/>
    <w:rsid w:val="00412ACA"/>
    <w:rsid w:val="00415EAF"/>
    <w:rsid w:val="00422D5F"/>
    <w:rsid w:val="00422F59"/>
    <w:rsid w:val="004267A1"/>
    <w:rsid w:val="00426A5A"/>
    <w:rsid w:val="00426E50"/>
    <w:rsid w:val="00431BCA"/>
    <w:rsid w:val="00431E52"/>
    <w:rsid w:val="00440E12"/>
    <w:rsid w:val="0044187D"/>
    <w:rsid w:val="004423BE"/>
    <w:rsid w:val="0044493B"/>
    <w:rsid w:val="00444B13"/>
    <w:rsid w:val="00445770"/>
    <w:rsid w:val="004507BF"/>
    <w:rsid w:val="00450EF1"/>
    <w:rsid w:val="00453562"/>
    <w:rsid w:val="0045428C"/>
    <w:rsid w:val="004566EA"/>
    <w:rsid w:val="00457703"/>
    <w:rsid w:val="00461404"/>
    <w:rsid w:val="0046525F"/>
    <w:rsid w:val="00467D9F"/>
    <w:rsid w:val="004702EC"/>
    <w:rsid w:val="00471EF3"/>
    <w:rsid w:val="00476247"/>
    <w:rsid w:val="00481BE4"/>
    <w:rsid w:val="00482DB3"/>
    <w:rsid w:val="004901CE"/>
    <w:rsid w:val="004902E6"/>
    <w:rsid w:val="004949E1"/>
    <w:rsid w:val="004972BE"/>
    <w:rsid w:val="004A272F"/>
    <w:rsid w:val="004A3012"/>
    <w:rsid w:val="004A46DC"/>
    <w:rsid w:val="004A6E79"/>
    <w:rsid w:val="004B25E1"/>
    <w:rsid w:val="004B7B2A"/>
    <w:rsid w:val="004C0A1B"/>
    <w:rsid w:val="004C2FE4"/>
    <w:rsid w:val="004C3010"/>
    <w:rsid w:val="004C347F"/>
    <w:rsid w:val="004C7B2C"/>
    <w:rsid w:val="004D6C5C"/>
    <w:rsid w:val="004E305D"/>
    <w:rsid w:val="004F3A5F"/>
    <w:rsid w:val="004F6181"/>
    <w:rsid w:val="004F73BC"/>
    <w:rsid w:val="004F7F0E"/>
    <w:rsid w:val="005008E2"/>
    <w:rsid w:val="00501CF3"/>
    <w:rsid w:val="00504DB5"/>
    <w:rsid w:val="00506E7E"/>
    <w:rsid w:val="005131ED"/>
    <w:rsid w:val="005211B2"/>
    <w:rsid w:val="00521214"/>
    <w:rsid w:val="00521632"/>
    <w:rsid w:val="00522B29"/>
    <w:rsid w:val="0052447D"/>
    <w:rsid w:val="00525157"/>
    <w:rsid w:val="0053294E"/>
    <w:rsid w:val="00535745"/>
    <w:rsid w:val="0053581A"/>
    <w:rsid w:val="00537F92"/>
    <w:rsid w:val="005450DE"/>
    <w:rsid w:val="005475FD"/>
    <w:rsid w:val="00553F16"/>
    <w:rsid w:val="00557692"/>
    <w:rsid w:val="00557839"/>
    <w:rsid w:val="00557ECD"/>
    <w:rsid w:val="00562673"/>
    <w:rsid w:val="00566C5A"/>
    <w:rsid w:val="00571F97"/>
    <w:rsid w:val="005779AD"/>
    <w:rsid w:val="00580D02"/>
    <w:rsid w:val="00581178"/>
    <w:rsid w:val="0058236E"/>
    <w:rsid w:val="00583757"/>
    <w:rsid w:val="005838EC"/>
    <w:rsid w:val="00583B39"/>
    <w:rsid w:val="0059287F"/>
    <w:rsid w:val="00593994"/>
    <w:rsid w:val="005A29F8"/>
    <w:rsid w:val="005A375E"/>
    <w:rsid w:val="005A53AE"/>
    <w:rsid w:val="005A6059"/>
    <w:rsid w:val="005B103E"/>
    <w:rsid w:val="005B57A3"/>
    <w:rsid w:val="005B6C8A"/>
    <w:rsid w:val="005C0B48"/>
    <w:rsid w:val="005C2AF4"/>
    <w:rsid w:val="005C327E"/>
    <w:rsid w:val="005C35DA"/>
    <w:rsid w:val="005C3797"/>
    <w:rsid w:val="005C3C2C"/>
    <w:rsid w:val="005C6335"/>
    <w:rsid w:val="005C7E60"/>
    <w:rsid w:val="005D0A1F"/>
    <w:rsid w:val="005D0DB5"/>
    <w:rsid w:val="005D0F14"/>
    <w:rsid w:val="005D4084"/>
    <w:rsid w:val="005D7934"/>
    <w:rsid w:val="005E0681"/>
    <w:rsid w:val="005E1BD8"/>
    <w:rsid w:val="005E5216"/>
    <w:rsid w:val="005E5935"/>
    <w:rsid w:val="005E5F3B"/>
    <w:rsid w:val="005F0AA6"/>
    <w:rsid w:val="005F1848"/>
    <w:rsid w:val="005F49E6"/>
    <w:rsid w:val="005F777F"/>
    <w:rsid w:val="00602CA6"/>
    <w:rsid w:val="00603F52"/>
    <w:rsid w:val="006103CE"/>
    <w:rsid w:val="00611E9B"/>
    <w:rsid w:val="0061286F"/>
    <w:rsid w:val="00623A18"/>
    <w:rsid w:val="00631A99"/>
    <w:rsid w:val="00634C22"/>
    <w:rsid w:val="006350AC"/>
    <w:rsid w:val="00635320"/>
    <w:rsid w:val="0064114E"/>
    <w:rsid w:val="006439DC"/>
    <w:rsid w:val="00644D97"/>
    <w:rsid w:val="0064604B"/>
    <w:rsid w:val="006464F6"/>
    <w:rsid w:val="00647223"/>
    <w:rsid w:val="00651115"/>
    <w:rsid w:val="006512DF"/>
    <w:rsid w:val="00655C9C"/>
    <w:rsid w:val="00657106"/>
    <w:rsid w:val="00661669"/>
    <w:rsid w:val="006637D0"/>
    <w:rsid w:val="0066417B"/>
    <w:rsid w:val="0066620B"/>
    <w:rsid w:val="00666946"/>
    <w:rsid w:val="00675A98"/>
    <w:rsid w:val="0067626D"/>
    <w:rsid w:val="0068094D"/>
    <w:rsid w:val="0068339D"/>
    <w:rsid w:val="006847C6"/>
    <w:rsid w:val="00684930"/>
    <w:rsid w:val="00684FA0"/>
    <w:rsid w:val="006867F3"/>
    <w:rsid w:val="006924D6"/>
    <w:rsid w:val="00692E15"/>
    <w:rsid w:val="00694011"/>
    <w:rsid w:val="00694D4A"/>
    <w:rsid w:val="006A0DEA"/>
    <w:rsid w:val="006A18ED"/>
    <w:rsid w:val="006A21F6"/>
    <w:rsid w:val="006A3F5B"/>
    <w:rsid w:val="006A3F98"/>
    <w:rsid w:val="006A3F99"/>
    <w:rsid w:val="006A42AF"/>
    <w:rsid w:val="006A5DAA"/>
    <w:rsid w:val="006A6966"/>
    <w:rsid w:val="006A773E"/>
    <w:rsid w:val="006B6EB0"/>
    <w:rsid w:val="006C11E7"/>
    <w:rsid w:val="006C18DA"/>
    <w:rsid w:val="006C787F"/>
    <w:rsid w:val="006D4953"/>
    <w:rsid w:val="006E4E37"/>
    <w:rsid w:val="006E5F1B"/>
    <w:rsid w:val="006F058B"/>
    <w:rsid w:val="006F393F"/>
    <w:rsid w:val="006F4D88"/>
    <w:rsid w:val="00703FB0"/>
    <w:rsid w:val="0070702E"/>
    <w:rsid w:val="00717226"/>
    <w:rsid w:val="00717BFA"/>
    <w:rsid w:val="007279B3"/>
    <w:rsid w:val="007279DE"/>
    <w:rsid w:val="00731E1F"/>
    <w:rsid w:val="007323FC"/>
    <w:rsid w:val="00732492"/>
    <w:rsid w:val="00733253"/>
    <w:rsid w:val="00736CEB"/>
    <w:rsid w:val="00752F9D"/>
    <w:rsid w:val="00756FF7"/>
    <w:rsid w:val="00761B9A"/>
    <w:rsid w:val="007625A9"/>
    <w:rsid w:val="00766A0E"/>
    <w:rsid w:val="00767574"/>
    <w:rsid w:val="00767AD7"/>
    <w:rsid w:val="007701D1"/>
    <w:rsid w:val="00772C77"/>
    <w:rsid w:val="00774945"/>
    <w:rsid w:val="00775074"/>
    <w:rsid w:val="0077652C"/>
    <w:rsid w:val="00776563"/>
    <w:rsid w:val="00777CBE"/>
    <w:rsid w:val="007811E5"/>
    <w:rsid w:val="00783FFC"/>
    <w:rsid w:val="0078730D"/>
    <w:rsid w:val="00793742"/>
    <w:rsid w:val="00794427"/>
    <w:rsid w:val="007951A8"/>
    <w:rsid w:val="00795FD0"/>
    <w:rsid w:val="00797BFB"/>
    <w:rsid w:val="007A014B"/>
    <w:rsid w:val="007A44E1"/>
    <w:rsid w:val="007A470F"/>
    <w:rsid w:val="007A4F08"/>
    <w:rsid w:val="007A7A86"/>
    <w:rsid w:val="007B1733"/>
    <w:rsid w:val="007B76D5"/>
    <w:rsid w:val="007B773D"/>
    <w:rsid w:val="007B7FD7"/>
    <w:rsid w:val="007C144F"/>
    <w:rsid w:val="007C40E1"/>
    <w:rsid w:val="007D1DA7"/>
    <w:rsid w:val="007D2E35"/>
    <w:rsid w:val="007D36B8"/>
    <w:rsid w:val="007E1EF7"/>
    <w:rsid w:val="007E2F49"/>
    <w:rsid w:val="007E596F"/>
    <w:rsid w:val="007E7B29"/>
    <w:rsid w:val="007F27ED"/>
    <w:rsid w:val="007F5F3C"/>
    <w:rsid w:val="00800967"/>
    <w:rsid w:val="008031FB"/>
    <w:rsid w:val="00806EFF"/>
    <w:rsid w:val="00807845"/>
    <w:rsid w:val="008152F8"/>
    <w:rsid w:val="00815323"/>
    <w:rsid w:val="00825534"/>
    <w:rsid w:val="00826550"/>
    <w:rsid w:val="00833A59"/>
    <w:rsid w:val="00836028"/>
    <w:rsid w:val="0083702C"/>
    <w:rsid w:val="00837FE2"/>
    <w:rsid w:val="00841A64"/>
    <w:rsid w:val="00841E24"/>
    <w:rsid w:val="00845900"/>
    <w:rsid w:val="008479E9"/>
    <w:rsid w:val="00851A5F"/>
    <w:rsid w:val="00852A42"/>
    <w:rsid w:val="008538AC"/>
    <w:rsid w:val="00854D0A"/>
    <w:rsid w:val="0085634C"/>
    <w:rsid w:val="008579F5"/>
    <w:rsid w:val="00865087"/>
    <w:rsid w:val="00865BFA"/>
    <w:rsid w:val="008679BC"/>
    <w:rsid w:val="0087448D"/>
    <w:rsid w:val="00875804"/>
    <w:rsid w:val="008759B1"/>
    <w:rsid w:val="0087603E"/>
    <w:rsid w:val="00877030"/>
    <w:rsid w:val="00877141"/>
    <w:rsid w:val="00881817"/>
    <w:rsid w:val="00883CA9"/>
    <w:rsid w:val="00884343"/>
    <w:rsid w:val="00890755"/>
    <w:rsid w:val="00891764"/>
    <w:rsid w:val="00893243"/>
    <w:rsid w:val="0089538A"/>
    <w:rsid w:val="008959C5"/>
    <w:rsid w:val="008971E3"/>
    <w:rsid w:val="008B197B"/>
    <w:rsid w:val="008B2FF2"/>
    <w:rsid w:val="008B6B53"/>
    <w:rsid w:val="008C2C79"/>
    <w:rsid w:val="008C2C8D"/>
    <w:rsid w:val="008C3679"/>
    <w:rsid w:val="008C4F8C"/>
    <w:rsid w:val="008D087F"/>
    <w:rsid w:val="008D1C12"/>
    <w:rsid w:val="008D7F43"/>
    <w:rsid w:val="008E175D"/>
    <w:rsid w:val="008F26A0"/>
    <w:rsid w:val="008F3862"/>
    <w:rsid w:val="009005AA"/>
    <w:rsid w:val="00903FAD"/>
    <w:rsid w:val="00904079"/>
    <w:rsid w:val="0091021F"/>
    <w:rsid w:val="00912562"/>
    <w:rsid w:val="00912D29"/>
    <w:rsid w:val="00916DC5"/>
    <w:rsid w:val="00922663"/>
    <w:rsid w:val="009240B0"/>
    <w:rsid w:val="00930F91"/>
    <w:rsid w:val="0094296F"/>
    <w:rsid w:val="00943B49"/>
    <w:rsid w:val="00943B94"/>
    <w:rsid w:val="00943D1E"/>
    <w:rsid w:val="00946105"/>
    <w:rsid w:val="00960F80"/>
    <w:rsid w:val="0096169A"/>
    <w:rsid w:val="00963674"/>
    <w:rsid w:val="00965CC7"/>
    <w:rsid w:val="00972BD9"/>
    <w:rsid w:val="00975745"/>
    <w:rsid w:val="0098188D"/>
    <w:rsid w:val="00985328"/>
    <w:rsid w:val="00996347"/>
    <w:rsid w:val="00996B74"/>
    <w:rsid w:val="00997A84"/>
    <w:rsid w:val="00997DC1"/>
    <w:rsid w:val="00997F6F"/>
    <w:rsid w:val="009A0096"/>
    <w:rsid w:val="009A2ED4"/>
    <w:rsid w:val="009A4821"/>
    <w:rsid w:val="009B2E2A"/>
    <w:rsid w:val="009B7C89"/>
    <w:rsid w:val="009C16DB"/>
    <w:rsid w:val="009C1949"/>
    <w:rsid w:val="009C3ADD"/>
    <w:rsid w:val="009C3D5D"/>
    <w:rsid w:val="009D1897"/>
    <w:rsid w:val="009D2D02"/>
    <w:rsid w:val="009D4924"/>
    <w:rsid w:val="009D6D03"/>
    <w:rsid w:val="009D724E"/>
    <w:rsid w:val="009E00A1"/>
    <w:rsid w:val="009E200A"/>
    <w:rsid w:val="009E4032"/>
    <w:rsid w:val="009F0197"/>
    <w:rsid w:val="009F1597"/>
    <w:rsid w:val="00A0005D"/>
    <w:rsid w:val="00A042E4"/>
    <w:rsid w:val="00A04897"/>
    <w:rsid w:val="00A06B27"/>
    <w:rsid w:val="00A11122"/>
    <w:rsid w:val="00A11F4D"/>
    <w:rsid w:val="00A172CD"/>
    <w:rsid w:val="00A17CA0"/>
    <w:rsid w:val="00A2030F"/>
    <w:rsid w:val="00A24715"/>
    <w:rsid w:val="00A25A45"/>
    <w:rsid w:val="00A337AA"/>
    <w:rsid w:val="00A356F3"/>
    <w:rsid w:val="00A36E58"/>
    <w:rsid w:val="00A37B13"/>
    <w:rsid w:val="00A4164E"/>
    <w:rsid w:val="00A45D1C"/>
    <w:rsid w:val="00A4635B"/>
    <w:rsid w:val="00A477E4"/>
    <w:rsid w:val="00A50025"/>
    <w:rsid w:val="00A5321C"/>
    <w:rsid w:val="00A61B1C"/>
    <w:rsid w:val="00A62D4F"/>
    <w:rsid w:val="00A65861"/>
    <w:rsid w:val="00A67A24"/>
    <w:rsid w:val="00A71B34"/>
    <w:rsid w:val="00A762C5"/>
    <w:rsid w:val="00A8401F"/>
    <w:rsid w:val="00A909A7"/>
    <w:rsid w:val="00A92AFD"/>
    <w:rsid w:val="00AA223A"/>
    <w:rsid w:val="00AA3E9D"/>
    <w:rsid w:val="00AA7886"/>
    <w:rsid w:val="00AC3E71"/>
    <w:rsid w:val="00AC4F6F"/>
    <w:rsid w:val="00AC5B68"/>
    <w:rsid w:val="00AD50E8"/>
    <w:rsid w:val="00AD751C"/>
    <w:rsid w:val="00AE6740"/>
    <w:rsid w:val="00AE76A6"/>
    <w:rsid w:val="00AF213E"/>
    <w:rsid w:val="00AF6E6E"/>
    <w:rsid w:val="00B00C65"/>
    <w:rsid w:val="00B02E99"/>
    <w:rsid w:val="00B04094"/>
    <w:rsid w:val="00B058B5"/>
    <w:rsid w:val="00B06F4B"/>
    <w:rsid w:val="00B1003C"/>
    <w:rsid w:val="00B110AA"/>
    <w:rsid w:val="00B142D4"/>
    <w:rsid w:val="00B15AC9"/>
    <w:rsid w:val="00B15AD7"/>
    <w:rsid w:val="00B25CA2"/>
    <w:rsid w:val="00B30B57"/>
    <w:rsid w:val="00B31589"/>
    <w:rsid w:val="00B3233C"/>
    <w:rsid w:val="00B3404D"/>
    <w:rsid w:val="00B34C30"/>
    <w:rsid w:val="00B34E9B"/>
    <w:rsid w:val="00B355A2"/>
    <w:rsid w:val="00B42270"/>
    <w:rsid w:val="00B464C3"/>
    <w:rsid w:val="00B468FF"/>
    <w:rsid w:val="00B50ABB"/>
    <w:rsid w:val="00B531A8"/>
    <w:rsid w:val="00B5778A"/>
    <w:rsid w:val="00B61AE6"/>
    <w:rsid w:val="00B63AB6"/>
    <w:rsid w:val="00B6532C"/>
    <w:rsid w:val="00B67900"/>
    <w:rsid w:val="00B74EBD"/>
    <w:rsid w:val="00B76A7D"/>
    <w:rsid w:val="00B85638"/>
    <w:rsid w:val="00B90170"/>
    <w:rsid w:val="00B91DEA"/>
    <w:rsid w:val="00B9297C"/>
    <w:rsid w:val="00B95722"/>
    <w:rsid w:val="00B9763B"/>
    <w:rsid w:val="00BA1B33"/>
    <w:rsid w:val="00BA37A2"/>
    <w:rsid w:val="00BB076F"/>
    <w:rsid w:val="00BB09D0"/>
    <w:rsid w:val="00BB2B07"/>
    <w:rsid w:val="00BB390A"/>
    <w:rsid w:val="00BB4478"/>
    <w:rsid w:val="00BB5089"/>
    <w:rsid w:val="00BC0B44"/>
    <w:rsid w:val="00BC23D6"/>
    <w:rsid w:val="00BC3DBD"/>
    <w:rsid w:val="00BC665E"/>
    <w:rsid w:val="00BD123A"/>
    <w:rsid w:val="00BD20DC"/>
    <w:rsid w:val="00BD2B26"/>
    <w:rsid w:val="00BD34F8"/>
    <w:rsid w:val="00BD36B6"/>
    <w:rsid w:val="00BE36E5"/>
    <w:rsid w:val="00BE4E66"/>
    <w:rsid w:val="00BE584B"/>
    <w:rsid w:val="00BE61A1"/>
    <w:rsid w:val="00BF305C"/>
    <w:rsid w:val="00C11DFB"/>
    <w:rsid w:val="00C1497D"/>
    <w:rsid w:val="00C200DE"/>
    <w:rsid w:val="00C207C8"/>
    <w:rsid w:val="00C210FA"/>
    <w:rsid w:val="00C21A4D"/>
    <w:rsid w:val="00C2256C"/>
    <w:rsid w:val="00C242D1"/>
    <w:rsid w:val="00C252A1"/>
    <w:rsid w:val="00C26334"/>
    <w:rsid w:val="00C276A8"/>
    <w:rsid w:val="00C306D8"/>
    <w:rsid w:val="00C362CB"/>
    <w:rsid w:val="00C36E22"/>
    <w:rsid w:val="00C373E7"/>
    <w:rsid w:val="00C37D18"/>
    <w:rsid w:val="00C40F37"/>
    <w:rsid w:val="00C45513"/>
    <w:rsid w:val="00C45606"/>
    <w:rsid w:val="00C542E5"/>
    <w:rsid w:val="00C647EC"/>
    <w:rsid w:val="00C64A08"/>
    <w:rsid w:val="00C65E4F"/>
    <w:rsid w:val="00C666D7"/>
    <w:rsid w:val="00C70166"/>
    <w:rsid w:val="00C712FC"/>
    <w:rsid w:val="00C7145F"/>
    <w:rsid w:val="00C71977"/>
    <w:rsid w:val="00C71A32"/>
    <w:rsid w:val="00C83426"/>
    <w:rsid w:val="00C87527"/>
    <w:rsid w:val="00C903CD"/>
    <w:rsid w:val="00C91ADA"/>
    <w:rsid w:val="00C921C9"/>
    <w:rsid w:val="00CA1377"/>
    <w:rsid w:val="00CA26C4"/>
    <w:rsid w:val="00CA7F94"/>
    <w:rsid w:val="00CB1A93"/>
    <w:rsid w:val="00CB32BC"/>
    <w:rsid w:val="00CB369F"/>
    <w:rsid w:val="00CB37FA"/>
    <w:rsid w:val="00CB3C73"/>
    <w:rsid w:val="00CB6F69"/>
    <w:rsid w:val="00CC05F2"/>
    <w:rsid w:val="00CC49E3"/>
    <w:rsid w:val="00CC6E3D"/>
    <w:rsid w:val="00CD6FC3"/>
    <w:rsid w:val="00CD741D"/>
    <w:rsid w:val="00CD78F8"/>
    <w:rsid w:val="00CD7F83"/>
    <w:rsid w:val="00CE143A"/>
    <w:rsid w:val="00CE2245"/>
    <w:rsid w:val="00CE23F5"/>
    <w:rsid w:val="00CE609A"/>
    <w:rsid w:val="00CE65DE"/>
    <w:rsid w:val="00CF26CB"/>
    <w:rsid w:val="00CF287E"/>
    <w:rsid w:val="00CF34DB"/>
    <w:rsid w:val="00CF365D"/>
    <w:rsid w:val="00CF3C72"/>
    <w:rsid w:val="00CF4455"/>
    <w:rsid w:val="00CF5753"/>
    <w:rsid w:val="00D0227A"/>
    <w:rsid w:val="00D02DC9"/>
    <w:rsid w:val="00D046F0"/>
    <w:rsid w:val="00D04D2C"/>
    <w:rsid w:val="00D0556F"/>
    <w:rsid w:val="00D05C0C"/>
    <w:rsid w:val="00D06EB1"/>
    <w:rsid w:val="00D11DCA"/>
    <w:rsid w:val="00D129FB"/>
    <w:rsid w:val="00D15D3F"/>
    <w:rsid w:val="00D20312"/>
    <w:rsid w:val="00D2290D"/>
    <w:rsid w:val="00D23449"/>
    <w:rsid w:val="00D243B5"/>
    <w:rsid w:val="00D2575D"/>
    <w:rsid w:val="00D27772"/>
    <w:rsid w:val="00D27F1A"/>
    <w:rsid w:val="00D3157A"/>
    <w:rsid w:val="00D3175F"/>
    <w:rsid w:val="00D32410"/>
    <w:rsid w:val="00D364D0"/>
    <w:rsid w:val="00D42527"/>
    <w:rsid w:val="00D45719"/>
    <w:rsid w:val="00D51F14"/>
    <w:rsid w:val="00D52993"/>
    <w:rsid w:val="00D54650"/>
    <w:rsid w:val="00D55F6E"/>
    <w:rsid w:val="00D57B50"/>
    <w:rsid w:val="00D57D7C"/>
    <w:rsid w:val="00D60FD2"/>
    <w:rsid w:val="00D6663C"/>
    <w:rsid w:val="00D67589"/>
    <w:rsid w:val="00D75689"/>
    <w:rsid w:val="00D80C21"/>
    <w:rsid w:val="00D80C35"/>
    <w:rsid w:val="00D84750"/>
    <w:rsid w:val="00D85186"/>
    <w:rsid w:val="00D85DDC"/>
    <w:rsid w:val="00D90F67"/>
    <w:rsid w:val="00D92A9A"/>
    <w:rsid w:val="00D95291"/>
    <w:rsid w:val="00D96891"/>
    <w:rsid w:val="00DA011A"/>
    <w:rsid w:val="00DA3AA2"/>
    <w:rsid w:val="00DA49AF"/>
    <w:rsid w:val="00DA6437"/>
    <w:rsid w:val="00DC2038"/>
    <w:rsid w:val="00DC379A"/>
    <w:rsid w:val="00DC3A06"/>
    <w:rsid w:val="00DC6211"/>
    <w:rsid w:val="00DC7346"/>
    <w:rsid w:val="00DD1514"/>
    <w:rsid w:val="00DD1DAF"/>
    <w:rsid w:val="00DD3144"/>
    <w:rsid w:val="00DD7564"/>
    <w:rsid w:val="00DE0E1D"/>
    <w:rsid w:val="00DE26F8"/>
    <w:rsid w:val="00DE28C4"/>
    <w:rsid w:val="00DE3D13"/>
    <w:rsid w:val="00DE47A4"/>
    <w:rsid w:val="00DE63B6"/>
    <w:rsid w:val="00DF0D7A"/>
    <w:rsid w:val="00DF6FA7"/>
    <w:rsid w:val="00E00A30"/>
    <w:rsid w:val="00E04764"/>
    <w:rsid w:val="00E06409"/>
    <w:rsid w:val="00E067FD"/>
    <w:rsid w:val="00E07287"/>
    <w:rsid w:val="00E100A1"/>
    <w:rsid w:val="00E1252A"/>
    <w:rsid w:val="00E125FC"/>
    <w:rsid w:val="00E12E0B"/>
    <w:rsid w:val="00E1450F"/>
    <w:rsid w:val="00E151DB"/>
    <w:rsid w:val="00E1658E"/>
    <w:rsid w:val="00E1696C"/>
    <w:rsid w:val="00E1703E"/>
    <w:rsid w:val="00E2338C"/>
    <w:rsid w:val="00E261B2"/>
    <w:rsid w:val="00E3338B"/>
    <w:rsid w:val="00E33481"/>
    <w:rsid w:val="00E33D8B"/>
    <w:rsid w:val="00E356B0"/>
    <w:rsid w:val="00E36188"/>
    <w:rsid w:val="00E4199F"/>
    <w:rsid w:val="00E424A6"/>
    <w:rsid w:val="00E45DC9"/>
    <w:rsid w:val="00E4736F"/>
    <w:rsid w:val="00E56464"/>
    <w:rsid w:val="00E60B39"/>
    <w:rsid w:val="00E64C6B"/>
    <w:rsid w:val="00E65FE2"/>
    <w:rsid w:val="00E66D13"/>
    <w:rsid w:val="00E66E61"/>
    <w:rsid w:val="00E70B86"/>
    <w:rsid w:val="00E716D9"/>
    <w:rsid w:val="00E73E17"/>
    <w:rsid w:val="00E80E8D"/>
    <w:rsid w:val="00E8317F"/>
    <w:rsid w:val="00E8475B"/>
    <w:rsid w:val="00E859D0"/>
    <w:rsid w:val="00E85CD7"/>
    <w:rsid w:val="00E85EC6"/>
    <w:rsid w:val="00E87AE5"/>
    <w:rsid w:val="00E90687"/>
    <w:rsid w:val="00E9618E"/>
    <w:rsid w:val="00E978DA"/>
    <w:rsid w:val="00EA0E39"/>
    <w:rsid w:val="00EA2C9F"/>
    <w:rsid w:val="00EA3064"/>
    <w:rsid w:val="00EA3D30"/>
    <w:rsid w:val="00EA3E2E"/>
    <w:rsid w:val="00EA509F"/>
    <w:rsid w:val="00EA56B1"/>
    <w:rsid w:val="00EA6129"/>
    <w:rsid w:val="00EA7D22"/>
    <w:rsid w:val="00EA7DF1"/>
    <w:rsid w:val="00EB2B02"/>
    <w:rsid w:val="00EB5318"/>
    <w:rsid w:val="00EB5674"/>
    <w:rsid w:val="00EB70FB"/>
    <w:rsid w:val="00EC2051"/>
    <w:rsid w:val="00EC7FD7"/>
    <w:rsid w:val="00ED2A9D"/>
    <w:rsid w:val="00ED3A32"/>
    <w:rsid w:val="00ED3E27"/>
    <w:rsid w:val="00EE0C26"/>
    <w:rsid w:val="00EE0C82"/>
    <w:rsid w:val="00EE0D3D"/>
    <w:rsid w:val="00EE1461"/>
    <w:rsid w:val="00EE2184"/>
    <w:rsid w:val="00EE4166"/>
    <w:rsid w:val="00EF0F24"/>
    <w:rsid w:val="00EF3F60"/>
    <w:rsid w:val="00EF53D9"/>
    <w:rsid w:val="00EF6364"/>
    <w:rsid w:val="00F00ACD"/>
    <w:rsid w:val="00F10997"/>
    <w:rsid w:val="00F11F8E"/>
    <w:rsid w:val="00F13B42"/>
    <w:rsid w:val="00F13BFC"/>
    <w:rsid w:val="00F148D5"/>
    <w:rsid w:val="00F15B6F"/>
    <w:rsid w:val="00F22FE7"/>
    <w:rsid w:val="00F23A9E"/>
    <w:rsid w:val="00F275F8"/>
    <w:rsid w:val="00F31C17"/>
    <w:rsid w:val="00F3231F"/>
    <w:rsid w:val="00F36D9B"/>
    <w:rsid w:val="00F404ED"/>
    <w:rsid w:val="00F43A09"/>
    <w:rsid w:val="00F43C3B"/>
    <w:rsid w:val="00F44313"/>
    <w:rsid w:val="00F55CE8"/>
    <w:rsid w:val="00F56C47"/>
    <w:rsid w:val="00F5748B"/>
    <w:rsid w:val="00F61D61"/>
    <w:rsid w:val="00F67F44"/>
    <w:rsid w:val="00F72092"/>
    <w:rsid w:val="00F76058"/>
    <w:rsid w:val="00F80BE6"/>
    <w:rsid w:val="00F82F5B"/>
    <w:rsid w:val="00F85CA4"/>
    <w:rsid w:val="00F8742A"/>
    <w:rsid w:val="00F90C95"/>
    <w:rsid w:val="00F929A8"/>
    <w:rsid w:val="00FA20AF"/>
    <w:rsid w:val="00FA4749"/>
    <w:rsid w:val="00FA72E4"/>
    <w:rsid w:val="00FB013A"/>
    <w:rsid w:val="00FB369C"/>
    <w:rsid w:val="00FB3972"/>
    <w:rsid w:val="00FB3A7D"/>
    <w:rsid w:val="00FC051D"/>
    <w:rsid w:val="00FC2ECE"/>
    <w:rsid w:val="00FC2ED6"/>
    <w:rsid w:val="00FC4AB3"/>
    <w:rsid w:val="00FC6131"/>
    <w:rsid w:val="00FD158C"/>
    <w:rsid w:val="00FE2839"/>
    <w:rsid w:val="00FE4A62"/>
    <w:rsid w:val="00FE6032"/>
    <w:rsid w:val="00FF07DB"/>
    <w:rsid w:val="00FF13FB"/>
    <w:rsid w:val="00FF193E"/>
    <w:rsid w:val="00FF2C89"/>
    <w:rsid w:val="00FF56E1"/>
    <w:rsid w:val="00FF6EA4"/>
    <w:rsid w:val="00FF7B6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D26F7C3-7B9C-456B-A9C5-126C3565F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semiHidden="1" w:uiPriority="0" w:unhideWhenUsed="1" w:qFormat="1"/>
    <w:lsdException w:name="heading 8" w:locked="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iPriority="39" w:unhideWhenUsed="1"/>
    <w:lsdException w:name="toc 5" w:locked="1" w:uiPriority="39" w:unhideWhenUsed="1"/>
    <w:lsdException w:name="toc 6" w:locked="1" w:uiPriority="39" w:unhideWhenUsed="1"/>
    <w:lsdException w:name="toc 7" w:locked="1" w:uiPriority="39" w:unhideWhenUsed="1"/>
    <w:lsdException w:name="toc 8" w:locked="1" w:uiPriority="39" w:unhideWhenUsed="1"/>
    <w:lsdException w:name="toc 9" w:locked="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Heading2"/>
    <w:qFormat/>
    <w:rsid w:val="00B15AC9"/>
    <w:rPr>
      <w:rFonts w:eastAsia="Times New Roman"/>
      <w:sz w:val="24"/>
      <w:szCs w:val="24"/>
      <w:lang w:eastAsia="en-AU"/>
    </w:rPr>
  </w:style>
  <w:style w:type="paragraph" w:styleId="Heading1">
    <w:name w:val="heading 1"/>
    <w:basedOn w:val="Normal"/>
    <w:next w:val="Normal"/>
    <w:link w:val="Heading1Char"/>
    <w:autoRedefine/>
    <w:uiPriority w:val="99"/>
    <w:qFormat/>
    <w:rsid w:val="0036356E"/>
    <w:pPr>
      <w:keepNext/>
      <w:pBdr>
        <w:bottom w:val="single" w:sz="2" w:space="1" w:color="auto"/>
      </w:pBdr>
      <w:spacing w:before="240" w:after="240"/>
      <w:outlineLvl w:val="0"/>
    </w:pPr>
    <w:rPr>
      <w:rFonts w:eastAsia="Arial Unicode MS" w:cs="Arial Unicode MS"/>
      <w:b/>
      <w:color w:val="42D0B8"/>
      <w:kern w:val="32"/>
      <w:sz w:val="44"/>
      <w:szCs w:val="44"/>
    </w:rPr>
  </w:style>
  <w:style w:type="paragraph" w:styleId="Heading2">
    <w:name w:val="heading 2"/>
    <w:basedOn w:val="Normal"/>
    <w:link w:val="Heading2Char"/>
    <w:uiPriority w:val="99"/>
    <w:qFormat/>
    <w:rsid w:val="00B15AC9"/>
    <w:pPr>
      <w:spacing w:before="100" w:beforeAutospacing="1" w:after="100" w:afterAutospacing="1"/>
      <w:outlineLvl w:val="1"/>
    </w:pPr>
    <w:rPr>
      <w:b/>
      <w:bCs/>
      <w:color w:val="3B2CFC"/>
      <w:szCs w:val="36"/>
      <w:lang w:val="en-AU"/>
    </w:rPr>
  </w:style>
  <w:style w:type="paragraph" w:styleId="Heading3">
    <w:name w:val="heading 3"/>
    <w:basedOn w:val="Normal"/>
    <w:next w:val="Normal"/>
    <w:link w:val="Heading3Char"/>
    <w:uiPriority w:val="99"/>
    <w:qFormat/>
    <w:rsid w:val="00B15AC9"/>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B15AC9"/>
    <w:pPr>
      <w:keepNext/>
      <w:spacing w:before="240" w:after="120"/>
      <w:outlineLvl w:val="3"/>
    </w:pPr>
    <w:rPr>
      <w:rFonts w:ascii="Arial" w:hAnsi="Arial" w:cs="Arial"/>
      <w:b/>
      <w:bCs/>
      <w:i/>
      <w:iCs/>
      <w:sz w:val="22"/>
      <w:szCs w:val="22"/>
      <w:lang w:eastAsia="en-US"/>
    </w:rPr>
  </w:style>
  <w:style w:type="paragraph" w:styleId="Heading5">
    <w:name w:val="heading 5"/>
    <w:basedOn w:val="Normal"/>
    <w:next w:val="Normal"/>
    <w:link w:val="Heading5Char"/>
    <w:uiPriority w:val="99"/>
    <w:qFormat/>
    <w:rsid w:val="00B15AC9"/>
    <w:pPr>
      <w:spacing w:before="240" w:after="120"/>
      <w:outlineLvl w:val="4"/>
    </w:pPr>
    <w:rPr>
      <w:rFonts w:ascii="Arial" w:hAnsi="Arial" w:cs="Arial"/>
      <w:b/>
      <w:bCs/>
      <w:sz w:val="20"/>
      <w:szCs w:val="20"/>
      <w:lang w:eastAsia="en-US"/>
    </w:rPr>
  </w:style>
  <w:style w:type="paragraph" w:styleId="Heading6">
    <w:name w:val="heading 6"/>
    <w:basedOn w:val="Normal"/>
    <w:next w:val="Normal"/>
    <w:link w:val="Heading6Char"/>
    <w:uiPriority w:val="99"/>
    <w:qFormat/>
    <w:rsid w:val="00B15AC9"/>
    <w:pPr>
      <w:spacing w:before="240" w:after="120"/>
      <w:outlineLvl w:val="5"/>
    </w:pPr>
    <w:rPr>
      <w:rFonts w:ascii="Arial" w:hAnsi="Arial" w:cs="Arial"/>
      <w:b/>
      <w:bCs/>
      <w:i/>
      <w:iCs/>
      <w:sz w:val="20"/>
      <w:szCs w:val="20"/>
      <w:lang w:eastAsia="en-US"/>
    </w:rPr>
  </w:style>
  <w:style w:type="paragraph" w:styleId="Heading8">
    <w:name w:val="heading 8"/>
    <w:basedOn w:val="Normal"/>
    <w:next w:val="Normal"/>
    <w:link w:val="Heading8Char"/>
    <w:uiPriority w:val="99"/>
    <w:qFormat/>
    <w:rsid w:val="00B15AC9"/>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6356E"/>
    <w:rPr>
      <w:rFonts w:eastAsia="Arial Unicode MS" w:cs="Arial Unicode MS"/>
      <w:b/>
      <w:color w:val="42D0B8"/>
      <w:kern w:val="32"/>
      <w:sz w:val="44"/>
      <w:szCs w:val="44"/>
      <w:lang w:eastAsia="en-AU"/>
    </w:rPr>
  </w:style>
  <w:style w:type="character" w:customStyle="1" w:styleId="Heading2Char">
    <w:name w:val="Heading 2 Char"/>
    <w:basedOn w:val="DefaultParagraphFont"/>
    <w:link w:val="Heading2"/>
    <w:uiPriority w:val="99"/>
    <w:locked/>
    <w:rsid w:val="00B15AC9"/>
    <w:rPr>
      <w:rFonts w:ascii="Calibri" w:hAnsi="Calibri" w:cs="Times New Roman"/>
      <w:b/>
      <w:bCs/>
      <w:color w:val="3B2CFC"/>
      <w:sz w:val="36"/>
      <w:szCs w:val="36"/>
      <w:lang w:val="en-AU" w:eastAsia="en-AU"/>
    </w:rPr>
  </w:style>
  <w:style w:type="character" w:customStyle="1" w:styleId="Heading3Char">
    <w:name w:val="Heading 3 Char"/>
    <w:basedOn w:val="DefaultParagraphFont"/>
    <w:link w:val="Heading3"/>
    <w:uiPriority w:val="99"/>
    <w:locked/>
    <w:rsid w:val="00B15AC9"/>
    <w:rPr>
      <w:rFonts w:ascii="Arial" w:hAnsi="Arial" w:cs="Arial"/>
      <w:b/>
      <w:bCs/>
      <w:sz w:val="26"/>
      <w:szCs w:val="26"/>
      <w:lang w:eastAsia="en-AU"/>
    </w:rPr>
  </w:style>
  <w:style w:type="character" w:customStyle="1" w:styleId="Heading4Char">
    <w:name w:val="Heading 4 Char"/>
    <w:basedOn w:val="DefaultParagraphFont"/>
    <w:link w:val="Heading4"/>
    <w:uiPriority w:val="99"/>
    <w:locked/>
    <w:rsid w:val="00B15AC9"/>
    <w:rPr>
      <w:rFonts w:ascii="Arial" w:hAnsi="Arial" w:cs="Arial"/>
      <w:b/>
      <w:bCs/>
      <w:i/>
      <w:iCs/>
    </w:rPr>
  </w:style>
  <w:style w:type="character" w:customStyle="1" w:styleId="Heading5Char">
    <w:name w:val="Heading 5 Char"/>
    <w:basedOn w:val="DefaultParagraphFont"/>
    <w:link w:val="Heading5"/>
    <w:uiPriority w:val="99"/>
    <w:locked/>
    <w:rsid w:val="00B15AC9"/>
    <w:rPr>
      <w:rFonts w:ascii="Arial" w:hAnsi="Arial" w:cs="Arial"/>
      <w:b/>
      <w:bCs/>
      <w:sz w:val="20"/>
      <w:szCs w:val="20"/>
    </w:rPr>
  </w:style>
  <w:style w:type="character" w:customStyle="1" w:styleId="Heading6Char">
    <w:name w:val="Heading 6 Char"/>
    <w:basedOn w:val="DefaultParagraphFont"/>
    <w:link w:val="Heading6"/>
    <w:uiPriority w:val="99"/>
    <w:locked/>
    <w:rsid w:val="00B15AC9"/>
    <w:rPr>
      <w:rFonts w:ascii="Arial" w:hAnsi="Arial" w:cs="Arial"/>
      <w:b/>
      <w:bCs/>
      <w:i/>
      <w:iCs/>
      <w:sz w:val="20"/>
      <w:szCs w:val="20"/>
    </w:rPr>
  </w:style>
  <w:style w:type="character" w:customStyle="1" w:styleId="Heading8Char">
    <w:name w:val="Heading 8 Char"/>
    <w:basedOn w:val="DefaultParagraphFont"/>
    <w:link w:val="Heading8"/>
    <w:uiPriority w:val="99"/>
    <w:locked/>
    <w:rsid w:val="00B15AC9"/>
    <w:rPr>
      <w:rFonts w:ascii="Calibri" w:hAnsi="Calibri" w:cs="Times New Roman"/>
      <w:i/>
      <w:iCs/>
      <w:sz w:val="24"/>
      <w:szCs w:val="24"/>
      <w:lang w:eastAsia="en-AU"/>
    </w:rPr>
  </w:style>
  <w:style w:type="paragraph" w:customStyle="1" w:styleId="Heading4ArialBlack">
    <w:name w:val="Heading 4 + Arial Black"/>
    <w:aliases w:val="11 pt"/>
    <w:basedOn w:val="Heading3"/>
    <w:uiPriority w:val="99"/>
    <w:rsid w:val="00B15AC9"/>
    <w:rPr>
      <w:rFonts w:ascii="Arial Black" w:hAnsi="Arial Black" w:cs="Arial Black"/>
      <w:sz w:val="22"/>
      <w:szCs w:val="22"/>
    </w:rPr>
  </w:style>
  <w:style w:type="paragraph" w:customStyle="1" w:styleId="Heading5ArialBlack">
    <w:name w:val="Heading 5 + Arial Black"/>
    <w:aliases w:val="11 pt + Arial,Not Bold"/>
    <w:basedOn w:val="Heading4ArialBlack"/>
    <w:uiPriority w:val="99"/>
    <w:rsid w:val="00B15AC9"/>
    <w:rPr>
      <w:rFonts w:ascii="Arial" w:hAnsi="Arial" w:cs="Arial"/>
      <w:b w:val="0"/>
      <w:bCs w:val="0"/>
    </w:rPr>
  </w:style>
  <w:style w:type="paragraph" w:styleId="Footer">
    <w:name w:val="footer"/>
    <w:basedOn w:val="Normal"/>
    <w:link w:val="FooterChar"/>
    <w:uiPriority w:val="99"/>
    <w:rsid w:val="00B15AC9"/>
    <w:pPr>
      <w:tabs>
        <w:tab w:val="center" w:pos="4153"/>
        <w:tab w:val="right" w:pos="8306"/>
      </w:tabs>
    </w:pPr>
  </w:style>
  <w:style w:type="character" w:customStyle="1" w:styleId="FooterChar">
    <w:name w:val="Footer Char"/>
    <w:basedOn w:val="DefaultParagraphFont"/>
    <w:link w:val="Footer"/>
    <w:uiPriority w:val="99"/>
    <w:locked/>
    <w:rsid w:val="00B15AC9"/>
    <w:rPr>
      <w:rFonts w:ascii="Calibri" w:hAnsi="Calibri" w:cs="Times New Roman"/>
      <w:sz w:val="24"/>
      <w:szCs w:val="24"/>
      <w:lang w:eastAsia="en-AU"/>
    </w:rPr>
  </w:style>
  <w:style w:type="character" w:styleId="PageNumber">
    <w:name w:val="page number"/>
    <w:basedOn w:val="DefaultParagraphFont"/>
    <w:uiPriority w:val="99"/>
    <w:rsid w:val="00B15AC9"/>
    <w:rPr>
      <w:rFonts w:cs="Times New Roman"/>
    </w:rPr>
  </w:style>
  <w:style w:type="paragraph" w:customStyle="1" w:styleId="Default">
    <w:name w:val="Default"/>
    <w:rsid w:val="00B15AC9"/>
    <w:pPr>
      <w:autoSpaceDE w:val="0"/>
      <w:autoSpaceDN w:val="0"/>
      <w:adjustRightInd w:val="0"/>
    </w:pPr>
    <w:rPr>
      <w:rFonts w:eastAsia="Times New Roman"/>
      <w:color w:val="000000"/>
      <w:sz w:val="24"/>
      <w:szCs w:val="24"/>
      <w:lang w:val="en-GB" w:eastAsia="en-GB"/>
    </w:rPr>
  </w:style>
  <w:style w:type="character" w:styleId="FootnoteReference">
    <w:name w:val="footnote reference"/>
    <w:basedOn w:val="DefaultParagraphFont"/>
    <w:uiPriority w:val="99"/>
    <w:semiHidden/>
    <w:rsid w:val="00B15AC9"/>
    <w:rPr>
      <w:rFonts w:cs="Times New Roman"/>
      <w:vertAlign w:val="superscript"/>
    </w:rPr>
  </w:style>
  <w:style w:type="paragraph" w:styleId="BodyTextIndent2">
    <w:name w:val="Body Text Indent 2"/>
    <w:basedOn w:val="Normal"/>
    <w:link w:val="BodyTextIndent2Char"/>
    <w:uiPriority w:val="99"/>
    <w:rsid w:val="00B15AC9"/>
    <w:pPr>
      <w:spacing w:after="120" w:line="480" w:lineRule="auto"/>
      <w:ind w:left="283"/>
    </w:pPr>
    <w:rPr>
      <w:rFonts w:ascii="Arial" w:hAnsi="Arial" w:cs="Arial"/>
      <w:color w:val="000000"/>
      <w:lang w:val="en-GB" w:eastAsia="en-GB"/>
    </w:rPr>
  </w:style>
  <w:style w:type="character" w:customStyle="1" w:styleId="BodyTextIndent2Char">
    <w:name w:val="Body Text Indent 2 Char"/>
    <w:basedOn w:val="DefaultParagraphFont"/>
    <w:link w:val="BodyTextIndent2"/>
    <w:uiPriority w:val="99"/>
    <w:locked/>
    <w:rsid w:val="00B15AC9"/>
    <w:rPr>
      <w:rFonts w:ascii="Arial" w:hAnsi="Arial" w:cs="Arial"/>
      <w:color w:val="000000"/>
      <w:sz w:val="24"/>
      <w:szCs w:val="24"/>
      <w:lang w:val="en-GB" w:eastAsia="en-GB"/>
    </w:rPr>
  </w:style>
  <w:style w:type="paragraph" w:styleId="FootnoteText">
    <w:name w:val="footnote text"/>
    <w:basedOn w:val="Normal"/>
    <w:link w:val="FootnoteTextChar"/>
    <w:uiPriority w:val="99"/>
    <w:semiHidden/>
    <w:rsid w:val="00B15AC9"/>
    <w:rPr>
      <w:sz w:val="20"/>
      <w:szCs w:val="20"/>
      <w:lang w:val="en-US" w:eastAsia="en-US"/>
    </w:rPr>
  </w:style>
  <w:style w:type="character" w:customStyle="1" w:styleId="FootnoteTextChar">
    <w:name w:val="Footnote Text Char"/>
    <w:basedOn w:val="DefaultParagraphFont"/>
    <w:link w:val="FootnoteText"/>
    <w:uiPriority w:val="99"/>
    <w:semiHidden/>
    <w:locked/>
    <w:rsid w:val="00B15AC9"/>
    <w:rPr>
      <w:rFonts w:ascii="Calibri" w:hAnsi="Calibri" w:cs="Times New Roman"/>
      <w:sz w:val="20"/>
      <w:szCs w:val="20"/>
      <w:lang w:val="en-US"/>
    </w:rPr>
  </w:style>
  <w:style w:type="paragraph" w:styleId="TOC1">
    <w:name w:val="toc 1"/>
    <w:basedOn w:val="Normal"/>
    <w:next w:val="Normal"/>
    <w:autoRedefine/>
    <w:uiPriority w:val="39"/>
    <w:rsid w:val="00B3404D"/>
    <w:pPr>
      <w:tabs>
        <w:tab w:val="left" w:pos="480"/>
        <w:tab w:val="right" w:leader="dot" w:pos="8789"/>
      </w:tabs>
    </w:pPr>
    <w:rPr>
      <w:rFonts w:eastAsia="Arial Unicode MS" w:cs="Arial Unicode MS"/>
      <w:noProof/>
      <w:color w:val="3366FF"/>
      <w:kern w:val="32"/>
      <w:sz w:val="23"/>
      <w:szCs w:val="23"/>
    </w:rPr>
  </w:style>
  <w:style w:type="paragraph" w:styleId="TOC2">
    <w:name w:val="toc 2"/>
    <w:basedOn w:val="Normal"/>
    <w:next w:val="Normal"/>
    <w:autoRedefine/>
    <w:uiPriority w:val="39"/>
    <w:rsid w:val="00B3404D"/>
    <w:pPr>
      <w:tabs>
        <w:tab w:val="left" w:pos="960"/>
        <w:tab w:val="right" w:leader="dot" w:pos="8789"/>
      </w:tabs>
      <w:spacing w:line="360" w:lineRule="auto"/>
      <w:ind w:left="238"/>
    </w:pPr>
    <w:rPr>
      <w:rFonts w:cs="Calibri"/>
      <w:noProof/>
      <w:kern w:val="32"/>
      <w:sz w:val="20"/>
      <w:szCs w:val="20"/>
    </w:rPr>
  </w:style>
  <w:style w:type="paragraph" w:styleId="TOC3">
    <w:name w:val="toc 3"/>
    <w:basedOn w:val="Normal"/>
    <w:next w:val="Normal"/>
    <w:autoRedefine/>
    <w:uiPriority w:val="39"/>
    <w:rsid w:val="00B15AC9"/>
    <w:pPr>
      <w:ind w:left="480"/>
    </w:pPr>
    <w:rPr>
      <w:sz w:val="20"/>
    </w:rPr>
  </w:style>
  <w:style w:type="character" w:styleId="Hyperlink">
    <w:name w:val="Hyperlink"/>
    <w:basedOn w:val="DefaultParagraphFont"/>
    <w:uiPriority w:val="99"/>
    <w:rsid w:val="00B15AC9"/>
    <w:rPr>
      <w:rFonts w:ascii="Calibri" w:hAnsi="Calibri" w:cs="Times New Roman"/>
      <w:noProof/>
      <w:color w:val="0000FF"/>
      <w:u w:val="single"/>
    </w:rPr>
  </w:style>
  <w:style w:type="paragraph" w:styleId="NormalWeb">
    <w:name w:val="Normal (Web)"/>
    <w:basedOn w:val="Normal"/>
    <w:uiPriority w:val="99"/>
    <w:rsid w:val="00B15AC9"/>
    <w:pPr>
      <w:spacing w:before="100" w:beforeAutospacing="1" w:after="100" w:afterAutospacing="1"/>
    </w:pPr>
    <w:rPr>
      <w:lang w:val="en-GB" w:eastAsia="en-GB"/>
    </w:rPr>
  </w:style>
  <w:style w:type="character" w:styleId="Emphasis">
    <w:name w:val="Emphasis"/>
    <w:basedOn w:val="DefaultParagraphFont"/>
    <w:uiPriority w:val="99"/>
    <w:qFormat/>
    <w:rsid w:val="00B15AC9"/>
    <w:rPr>
      <w:rFonts w:cs="Times New Roman"/>
      <w:i/>
      <w:iCs/>
    </w:rPr>
  </w:style>
  <w:style w:type="paragraph" w:styleId="List">
    <w:name w:val="List"/>
    <w:basedOn w:val="Normal"/>
    <w:uiPriority w:val="99"/>
    <w:rsid w:val="00B15AC9"/>
    <w:pPr>
      <w:spacing w:after="120"/>
      <w:ind w:left="425" w:hanging="425"/>
    </w:pPr>
    <w:rPr>
      <w:rFonts w:ascii="Arial (W1)" w:hAnsi="Arial (W1)" w:cs="Arial (W1)"/>
      <w:sz w:val="22"/>
      <w:szCs w:val="22"/>
      <w:lang w:eastAsia="en-US"/>
    </w:rPr>
  </w:style>
  <w:style w:type="paragraph" w:customStyle="1" w:styleId="SSCBullet2">
    <w:name w:val="SSC Bullet 2"/>
    <w:basedOn w:val="SSCbullet"/>
    <w:uiPriority w:val="99"/>
    <w:rsid w:val="00B15AC9"/>
    <w:pPr>
      <w:numPr>
        <w:numId w:val="4"/>
      </w:numPr>
      <w:tabs>
        <w:tab w:val="clear" w:pos="1247"/>
        <w:tab w:val="left" w:pos="1134"/>
      </w:tabs>
      <w:spacing w:before="60"/>
      <w:ind w:left="1134"/>
    </w:pPr>
  </w:style>
  <w:style w:type="paragraph" w:customStyle="1" w:styleId="SSCbullet">
    <w:name w:val="SSC bullet"/>
    <w:uiPriority w:val="99"/>
    <w:rsid w:val="00B15AC9"/>
    <w:pPr>
      <w:numPr>
        <w:numId w:val="3"/>
      </w:numPr>
      <w:spacing w:after="120" w:line="240" w:lineRule="atLeast"/>
      <w:jc w:val="both"/>
    </w:pPr>
    <w:rPr>
      <w:rFonts w:eastAsia="Times New Roman"/>
      <w:sz w:val="24"/>
      <w:szCs w:val="24"/>
      <w:lang w:eastAsia="en-US"/>
    </w:rPr>
  </w:style>
  <w:style w:type="paragraph" w:styleId="BlockText">
    <w:name w:val="Block Text"/>
    <w:basedOn w:val="Normal"/>
    <w:uiPriority w:val="99"/>
    <w:rsid w:val="00B15AC9"/>
    <w:pPr>
      <w:spacing w:after="120"/>
      <w:ind w:left="1440" w:right="1440"/>
    </w:pPr>
    <w:rPr>
      <w:rFonts w:ascii="Arial (W1)" w:hAnsi="Arial (W1)" w:cs="Arial (W1)"/>
      <w:sz w:val="22"/>
      <w:szCs w:val="22"/>
      <w:lang w:eastAsia="en-US"/>
    </w:rPr>
  </w:style>
  <w:style w:type="paragraph" w:styleId="ListNumber">
    <w:name w:val="List Number"/>
    <w:basedOn w:val="Normal"/>
    <w:uiPriority w:val="99"/>
    <w:rsid w:val="00B15AC9"/>
    <w:pPr>
      <w:numPr>
        <w:numId w:val="1"/>
      </w:numPr>
      <w:spacing w:before="120" w:after="120"/>
    </w:pPr>
    <w:rPr>
      <w:rFonts w:ascii="Arial (W1)" w:hAnsi="Arial (W1)" w:cs="Arial (W1)"/>
      <w:sz w:val="22"/>
      <w:szCs w:val="22"/>
      <w:lang w:eastAsia="en-US"/>
    </w:rPr>
  </w:style>
  <w:style w:type="paragraph" w:styleId="ListNumber2">
    <w:name w:val="List Number 2"/>
    <w:basedOn w:val="Normal"/>
    <w:uiPriority w:val="99"/>
    <w:rsid w:val="00B15AC9"/>
    <w:pPr>
      <w:numPr>
        <w:ilvl w:val="1"/>
        <w:numId w:val="1"/>
      </w:numPr>
      <w:outlineLvl w:val="1"/>
    </w:pPr>
    <w:rPr>
      <w:rFonts w:ascii="Arial (W1)" w:hAnsi="Arial (W1)" w:cs="Arial (W1)"/>
      <w:sz w:val="22"/>
      <w:szCs w:val="22"/>
      <w:lang w:eastAsia="en-US"/>
    </w:rPr>
  </w:style>
  <w:style w:type="paragraph" w:customStyle="1" w:styleId="SSCNumbering1">
    <w:name w:val="SSC Numbering 1"/>
    <w:basedOn w:val="Normal"/>
    <w:uiPriority w:val="99"/>
    <w:rsid w:val="00B15AC9"/>
    <w:pPr>
      <w:numPr>
        <w:numId w:val="5"/>
      </w:numPr>
      <w:spacing w:after="120"/>
    </w:pPr>
    <w:rPr>
      <w:rFonts w:ascii="Arial (W1)" w:hAnsi="Arial (W1)" w:cs="Arial (W1)"/>
      <w:sz w:val="22"/>
      <w:szCs w:val="22"/>
      <w:lang w:eastAsia="en-US"/>
    </w:rPr>
  </w:style>
  <w:style w:type="paragraph" w:customStyle="1" w:styleId="SSCNumbering2">
    <w:name w:val="SSC Numbering 2"/>
    <w:basedOn w:val="SSCNumbering1"/>
    <w:uiPriority w:val="99"/>
    <w:rsid w:val="00B15AC9"/>
    <w:pPr>
      <w:numPr>
        <w:ilvl w:val="1"/>
      </w:numPr>
      <w:tabs>
        <w:tab w:val="num" w:pos="567"/>
      </w:tabs>
    </w:pPr>
  </w:style>
  <w:style w:type="paragraph" w:customStyle="1" w:styleId="SSCNumbering3">
    <w:name w:val="SSC Numbering 3"/>
    <w:basedOn w:val="SSCNumbering1"/>
    <w:uiPriority w:val="99"/>
    <w:rsid w:val="00B15AC9"/>
    <w:pPr>
      <w:numPr>
        <w:ilvl w:val="2"/>
      </w:numPr>
      <w:tabs>
        <w:tab w:val="num" w:pos="567"/>
      </w:tabs>
    </w:pPr>
  </w:style>
  <w:style w:type="paragraph" w:styleId="Header">
    <w:name w:val="header"/>
    <w:basedOn w:val="Normal"/>
    <w:link w:val="HeaderChar"/>
    <w:uiPriority w:val="99"/>
    <w:rsid w:val="00B15AC9"/>
    <w:pPr>
      <w:tabs>
        <w:tab w:val="center" w:pos="4153"/>
        <w:tab w:val="right" w:pos="8306"/>
      </w:tabs>
    </w:pPr>
    <w:rPr>
      <w:rFonts w:ascii="Arial (W1)" w:hAnsi="Arial (W1)" w:cs="Arial (W1)"/>
      <w:sz w:val="22"/>
      <w:szCs w:val="22"/>
      <w:lang w:eastAsia="en-US"/>
    </w:rPr>
  </w:style>
  <w:style w:type="character" w:customStyle="1" w:styleId="HeaderChar">
    <w:name w:val="Header Char"/>
    <w:basedOn w:val="DefaultParagraphFont"/>
    <w:link w:val="Header"/>
    <w:uiPriority w:val="99"/>
    <w:locked/>
    <w:rsid w:val="00B15AC9"/>
    <w:rPr>
      <w:rFonts w:ascii="Arial (W1)" w:hAnsi="Arial (W1)" w:cs="Arial (W1)"/>
    </w:rPr>
  </w:style>
  <w:style w:type="paragraph" w:styleId="Subtitle">
    <w:name w:val="Subtitle"/>
    <w:basedOn w:val="Normal"/>
    <w:link w:val="SubtitleChar"/>
    <w:uiPriority w:val="99"/>
    <w:qFormat/>
    <w:rsid w:val="00B15AC9"/>
    <w:pPr>
      <w:spacing w:before="120" w:after="240"/>
      <w:outlineLvl w:val="1"/>
    </w:pPr>
    <w:rPr>
      <w:rFonts w:ascii="Arial" w:hAnsi="Arial" w:cs="Arial"/>
      <w:b/>
      <w:bCs/>
      <w:sz w:val="28"/>
      <w:szCs w:val="28"/>
      <w:lang w:eastAsia="en-US"/>
    </w:rPr>
  </w:style>
  <w:style w:type="character" w:customStyle="1" w:styleId="SubtitleChar">
    <w:name w:val="Subtitle Char"/>
    <w:basedOn w:val="DefaultParagraphFont"/>
    <w:link w:val="Subtitle"/>
    <w:uiPriority w:val="99"/>
    <w:locked/>
    <w:rsid w:val="00B15AC9"/>
    <w:rPr>
      <w:rFonts w:ascii="Arial" w:hAnsi="Arial" w:cs="Arial"/>
      <w:b/>
      <w:bCs/>
      <w:sz w:val="28"/>
      <w:szCs w:val="28"/>
    </w:rPr>
  </w:style>
  <w:style w:type="paragraph" w:customStyle="1" w:styleId="TableFigureTitle">
    <w:name w:val="Table / Figure Title"/>
    <w:basedOn w:val="Normal"/>
    <w:uiPriority w:val="99"/>
    <w:rsid w:val="00B15AC9"/>
    <w:pPr>
      <w:keepNext/>
      <w:spacing w:before="240" w:after="120"/>
    </w:pPr>
    <w:rPr>
      <w:rFonts w:ascii="Arial" w:hAnsi="Arial" w:cs="Arial"/>
      <w:b/>
      <w:bCs/>
      <w:sz w:val="22"/>
      <w:szCs w:val="22"/>
      <w:lang w:eastAsia="en-US"/>
    </w:rPr>
  </w:style>
  <w:style w:type="paragraph" w:customStyle="1" w:styleId="TableHeaderleft">
    <w:name w:val="Table Header left"/>
    <w:basedOn w:val="Normal"/>
    <w:uiPriority w:val="99"/>
    <w:rsid w:val="00B15AC9"/>
    <w:pPr>
      <w:keepNext/>
      <w:spacing w:before="120" w:after="120"/>
    </w:pPr>
    <w:rPr>
      <w:rFonts w:ascii="Arial" w:hAnsi="Arial" w:cs="Arial"/>
      <w:b/>
      <w:bCs/>
      <w:sz w:val="22"/>
      <w:szCs w:val="22"/>
      <w:lang w:eastAsia="en-US"/>
    </w:rPr>
  </w:style>
  <w:style w:type="paragraph" w:customStyle="1" w:styleId="TableHeaderTop">
    <w:name w:val="Table Header Top"/>
    <w:basedOn w:val="Normal"/>
    <w:uiPriority w:val="99"/>
    <w:rsid w:val="00B15AC9"/>
    <w:pPr>
      <w:keepNext/>
      <w:spacing w:before="120" w:after="120"/>
      <w:jc w:val="center"/>
    </w:pPr>
    <w:rPr>
      <w:rFonts w:ascii="Arial" w:hAnsi="Arial" w:cs="Arial"/>
      <w:b/>
      <w:bCs/>
      <w:sz w:val="22"/>
      <w:szCs w:val="22"/>
      <w:lang w:eastAsia="en-US"/>
    </w:rPr>
  </w:style>
  <w:style w:type="paragraph" w:customStyle="1" w:styleId="Tabletext">
    <w:name w:val="Table text"/>
    <w:basedOn w:val="TableHeaderleft"/>
    <w:uiPriority w:val="99"/>
    <w:rsid w:val="00B15AC9"/>
    <w:pPr>
      <w:spacing w:before="60" w:after="60"/>
    </w:pPr>
    <w:rPr>
      <w:b w:val="0"/>
      <w:bCs w:val="0"/>
      <w:sz w:val="20"/>
      <w:szCs w:val="20"/>
    </w:rPr>
  </w:style>
  <w:style w:type="paragraph" w:styleId="Title">
    <w:name w:val="Title"/>
    <w:basedOn w:val="Normal"/>
    <w:link w:val="TitleChar"/>
    <w:uiPriority w:val="99"/>
    <w:qFormat/>
    <w:rsid w:val="00B15AC9"/>
    <w:pPr>
      <w:tabs>
        <w:tab w:val="left" w:pos="425"/>
      </w:tabs>
      <w:spacing w:before="240" w:after="60"/>
      <w:outlineLvl w:val="0"/>
    </w:pPr>
    <w:rPr>
      <w:rFonts w:ascii="Arial" w:hAnsi="Arial" w:cs="Arial"/>
      <w:b/>
      <w:bCs/>
      <w:kern w:val="28"/>
      <w:sz w:val="32"/>
      <w:szCs w:val="32"/>
      <w:lang w:eastAsia="en-US"/>
    </w:rPr>
  </w:style>
  <w:style w:type="character" w:customStyle="1" w:styleId="TitleChar">
    <w:name w:val="Title Char"/>
    <w:basedOn w:val="DefaultParagraphFont"/>
    <w:link w:val="Title"/>
    <w:uiPriority w:val="99"/>
    <w:locked/>
    <w:rsid w:val="00B15AC9"/>
    <w:rPr>
      <w:rFonts w:ascii="Arial" w:hAnsi="Arial" w:cs="Arial"/>
      <w:b/>
      <w:bCs/>
      <w:kern w:val="28"/>
      <w:sz w:val="32"/>
      <w:szCs w:val="32"/>
    </w:rPr>
  </w:style>
  <w:style w:type="paragraph" w:styleId="TOAHeading">
    <w:name w:val="toa heading"/>
    <w:basedOn w:val="Normal"/>
    <w:next w:val="Normal"/>
    <w:uiPriority w:val="99"/>
    <w:semiHidden/>
    <w:rsid w:val="00B15AC9"/>
    <w:pPr>
      <w:numPr>
        <w:ilvl w:val="2"/>
        <w:numId w:val="1"/>
      </w:numPr>
      <w:tabs>
        <w:tab w:val="clear" w:pos="1559"/>
      </w:tabs>
      <w:spacing w:before="120"/>
      <w:ind w:left="0" w:firstLine="0"/>
    </w:pPr>
    <w:rPr>
      <w:rFonts w:ascii="Arial" w:hAnsi="Arial" w:cs="Arial"/>
      <w:b/>
      <w:bCs/>
      <w:sz w:val="22"/>
      <w:szCs w:val="22"/>
      <w:lang w:eastAsia="en-US"/>
    </w:rPr>
  </w:style>
  <w:style w:type="paragraph" w:styleId="BodyText">
    <w:name w:val="Body Text"/>
    <w:basedOn w:val="Normal"/>
    <w:link w:val="BodyTextChar"/>
    <w:uiPriority w:val="99"/>
    <w:rsid w:val="00B15AC9"/>
    <w:rPr>
      <w:rFonts w:ascii="Arial (W1)" w:hAnsi="Arial (W1)" w:cs="Arial (W1)"/>
      <w:sz w:val="22"/>
      <w:szCs w:val="22"/>
      <w:lang w:eastAsia="en-US"/>
    </w:rPr>
  </w:style>
  <w:style w:type="character" w:customStyle="1" w:styleId="BodyTextChar">
    <w:name w:val="Body Text Char"/>
    <w:basedOn w:val="DefaultParagraphFont"/>
    <w:link w:val="BodyText"/>
    <w:uiPriority w:val="99"/>
    <w:locked/>
    <w:rsid w:val="00B15AC9"/>
    <w:rPr>
      <w:rFonts w:ascii="Arial (W1)" w:hAnsi="Arial (W1)" w:cs="Arial (W1)"/>
    </w:rPr>
  </w:style>
  <w:style w:type="paragraph" w:customStyle="1" w:styleId="TableBullet1">
    <w:name w:val="Table Bullet 1"/>
    <w:basedOn w:val="Normal"/>
    <w:uiPriority w:val="99"/>
    <w:rsid w:val="00B15AC9"/>
    <w:pPr>
      <w:numPr>
        <w:numId w:val="6"/>
      </w:numPr>
      <w:spacing w:before="60" w:after="60"/>
    </w:pPr>
    <w:rPr>
      <w:rFonts w:ascii="Arial" w:hAnsi="Arial" w:cs="Arial"/>
      <w:sz w:val="20"/>
      <w:szCs w:val="20"/>
      <w:lang w:eastAsia="en-US"/>
    </w:rPr>
  </w:style>
  <w:style w:type="paragraph" w:customStyle="1" w:styleId="TableBullet2">
    <w:name w:val="Table Bullet 2"/>
    <w:basedOn w:val="TableBullet1"/>
    <w:uiPriority w:val="99"/>
    <w:rsid w:val="00B15AC9"/>
    <w:pPr>
      <w:numPr>
        <w:numId w:val="7"/>
      </w:numPr>
      <w:tabs>
        <w:tab w:val="num" w:pos="567"/>
      </w:tabs>
      <w:ind w:left="850" w:hanging="567"/>
    </w:pPr>
  </w:style>
  <w:style w:type="paragraph" w:customStyle="1" w:styleId="Instructions">
    <w:name w:val="Instructions"/>
    <w:basedOn w:val="Normal"/>
    <w:uiPriority w:val="99"/>
    <w:rsid w:val="00B15AC9"/>
    <w:rPr>
      <w:rFonts w:ascii="Times" w:hAnsi="Times" w:cs="Times"/>
      <w:i/>
      <w:iCs/>
      <w:sz w:val="22"/>
      <w:szCs w:val="22"/>
      <w:lang w:eastAsia="en-US"/>
    </w:rPr>
  </w:style>
  <w:style w:type="paragraph" w:customStyle="1" w:styleId="R1indented">
    <w:name w:val="R1 indented"/>
    <w:basedOn w:val="Normal"/>
    <w:uiPriority w:val="99"/>
    <w:rsid w:val="00B15AC9"/>
    <w:pPr>
      <w:numPr>
        <w:numId w:val="2"/>
      </w:numPr>
      <w:spacing w:after="120"/>
    </w:pPr>
    <w:rPr>
      <w:rFonts w:ascii="Arial (W1)" w:hAnsi="Arial (W1)" w:cs="Arial (W1)"/>
      <w:sz w:val="22"/>
      <w:szCs w:val="22"/>
      <w:lang w:eastAsia="en-US"/>
    </w:rPr>
  </w:style>
  <w:style w:type="paragraph" w:customStyle="1" w:styleId="SSCBullet3">
    <w:name w:val="SSC Bullet 3"/>
    <w:basedOn w:val="Normal"/>
    <w:uiPriority w:val="99"/>
    <w:rsid w:val="00B15AC9"/>
    <w:pPr>
      <w:numPr>
        <w:numId w:val="8"/>
      </w:numPr>
    </w:pPr>
    <w:rPr>
      <w:rFonts w:ascii="Arial (W1)" w:hAnsi="Arial (W1)" w:cs="Arial (W1)"/>
      <w:sz w:val="22"/>
      <w:szCs w:val="22"/>
      <w:lang w:eastAsia="en-US"/>
    </w:rPr>
  </w:style>
  <w:style w:type="paragraph" w:styleId="Signature">
    <w:name w:val="Signature"/>
    <w:basedOn w:val="Normal"/>
    <w:link w:val="SignatureChar"/>
    <w:uiPriority w:val="99"/>
    <w:rsid w:val="00B15AC9"/>
    <w:pPr>
      <w:ind w:left="4252"/>
    </w:pPr>
    <w:rPr>
      <w:rFonts w:ascii="Arial (W1)" w:hAnsi="Arial (W1)" w:cs="Arial (W1)"/>
      <w:sz w:val="22"/>
      <w:szCs w:val="22"/>
      <w:lang w:eastAsia="en-US"/>
    </w:rPr>
  </w:style>
  <w:style w:type="character" w:customStyle="1" w:styleId="SignatureChar">
    <w:name w:val="Signature Char"/>
    <w:basedOn w:val="DefaultParagraphFont"/>
    <w:link w:val="Signature"/>
    <w:uiPriority w:val="99"/>
    <w:locked/>
    <w:rsid w:val="00B15AC9"/>
    <w:rPr>
      <w:rFonts w:ascii="Arial (W1)" w:hAnsi="Arial (W1)" w:cs="Arial (W1)"/>
    </w:rPr>
  </w:style>
  <w:style w:type="table" w:styleId="TableGrid">
    <w:name w:val="Table Grid"/>
    <w:basedOn w:val="TableNormal"/>
    <w:uiPriority w:val="99"/>
    <w:rsid w:val="00B15AC9"/>
    <w:pPr>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15AC9"/>
    <w:rPr>
      <w:rFonts w:cs="Times New Roman"/>
      <w:b/>
      <w:bCs/>
    </w:rPr>
  </w:style>
  <w:style w:type="paragraph" w:customStyle="1" w:styleId="BlankLines">
    <w:name w:val="Blank Lines"/>
    <w:basedOn w:val="Normal"/>
    <w:uiPriority w:val="99"/>
    <w:rsid w:val="00B15AC9"/>
    <w:pPr>
      <w:tabs>
        <w:tab w:val="left" w:pos="357"/>
        <w:tab w:val="right" w:leader="underscore" w:pos="8930"/>
      </w:tabs>
      <w:spacing w:before="60" w:after="120"/>
    </w:pPr>
    <w:rPr>
      <w:rFonts w:ascii="Arial" w:hAnsi="Arial" w:cs="Arial"/>
      <w:color w:val="FF7614"/>
      <w:sz w:val="20"/>
      <w:szCs w:val="20"/>
      <w:lang w:eastAsia="en-US"/>
    </w:rPr>
  </w:style>
  <w:style w:type="paragraph" w:customStyle="1" w:styleId="byline">
    <w:name w:val="byline"/>
    <w:basedOn w:val="Normal"/>
    <w:uiPriority w:val="99"/>
    <w:rsid w:val="00B15AC9"/>
    <w:pPr>
      <w:spacing w:before="100" w:beforeAutospacing="1" w:after="100" w:afterAutospacing="1"/>
    </w:pPr>
    <w:rPr>
      <w:lang w:val="en-GB" w:eastAsia="en-GB"/>
    </w:rPr>
  </w:style>
  <w:style w:type="paragraph" w:customStyle="1" w:styleId="articledate">
    <w:name w:val="article_date"/>
    <w:basedOn w:val="Normal"/>
    <w:uiPriority w:val="99"/>
    <w:rsid w:val="00B15AC9"/>
    <w:pPr>
      <w:spacing w:before="100" w:beforeAutospacing="1" w:after="100" w:afterAutospacing="1"/>
    </w:pPr>
    <w:rPr>
      <w:sz w:val="22"/>
      <w:szCs w:val="22"/>
      <w:lang w:val="en-GB" w:eastAsia="en-GB"/>
    </w:rPr>
  </w:style>
  <w:style w:type="character" w:styleId="FollowedHyperlink">
    <w:name w:val="FollowedHyperlink"/>
    <w:basedOn w:val="DefaultParagraphFont"/>
    <w:uiPriority w:val="99"/>
    <w:rsid w:val="00B15AC9"/>
    <w:rPr>
      <w:rFonts w:cs="Times New Roman"/>
      <w:color w:val="800080"/>
      <w:u w:val="single"/>
    </w:rPr>
  </w:style>
  <w:style w:type="paragraph" w:customStyle="1" w:styleId="xl24">
    <w:name w:val="xl24"/>
    <w:basedOn w:val="Normal"/>
    <w:uiPriority w:val="99"/>
    <w:rsid w:val="00B15AC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lang w:val="en-GB" w:eastAsia="en-GB"/>
    </w:rPr>
  </w:style>
  <w:style w:type="paragraph" w:customStyle="1" w:styleId="xl25">
    <w:name w:val="xl25"/>
    <w:basedOn w:val="Normal"/>
    <w:uiPriority w:val="99"/>
    <w:rsid w:val="00B15AC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lang w:val="en-GB" w:eastAsia="en-GB"/>
    </w:rPr>
  </w:style>
  <w:style w:type="paragraph" w:customStyle="1" w:styleId="xl26">
    <w:name w:val="xl26"/>
    <w:basedOn w:val="Normal"/>
    <w:uiPriority w:val="99"/>
    <w:rsid w:val="00B15AC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Arial" w:hAnsi="Arial" w:cs="Arial"/>
      <w:b/>
      <w:bCs/>
      <w:color w:val="0000FF"/>
      <w:lang w:val="en-GB" w:eastAsia="en-GB"/>
    </w:rPr>
  </w:style>
  <w:style w:type="paragraph" w:customStyle="1" w:styleId="xl27">
    <w:name w:val="xl27"/>
    <w:basedOn w:val="Normal"/>
    <w:uiPriority w:val="99"/>
    <w:rsid w:val="00B15AC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Arial" w:hAnsi="Arial" w:cs="Arial"/>
      <w:b/>
      <w:bCs/>
      <w:color w:val="0000FF"/>
      <w:lang w:val="en-GB" w:eastAsia="en-GB"/>
    </w:rPr>
  </w:style>
  <w:style w:type="paragraph" w:customStyle="1" w:styleId="xl28">
    <w:name w:val="xl28"/>
    <w:basedOn w:val="Normal"/>
    <w:uiPriority w:val="99"/>
    <w:rsid w:val="00B15AC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FF"/>
      <w:lang w:val="en-GB" w:eastAsia="en-GB"/>
    </w:rPr>
  </w:style>
  <w:style w:type="paragraph" w:customStyle="1" w:styleId="xl29">
    <w:name w:val="xl29"/>
    <w:basedOn w:val="Normal"/>
    <w:uiPriority w:val="99"/>
    <w:rsid w:val="00B15AC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lang w:val="en-GB" w:eastAsia="en-GB"/>
    </w:rPr>
  </w:style>
  <w:style w:type="paragraph" w:customStyle="1" w:styleId="xl30">
    <w:name w:val="xl30"/>
    <w:basedOn w:val="Normal"/>
    <w:uiPriority w:val="99"/>
    <w:rsid w:val="00B15AC9"/>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31">
    <w:name w:val="xl31"/>
    <w:basedOn w:val="Normal"/>
    <w:uiPriority w:val="99"/>
    <w:rsid w:val="00B15AC9"/>
    <w:pPr>
      <w:pBdr>
        <w:top w:val="single" w:sz="4" w:space="0" w:color="auto"/>
        <w:left w:val="single" w:sz="4" w:space="9" w:color="auto"/>
        <w:bottom w:val="single" w:sz="4" w:space="0" w:color="auto"/>
        <w:right w:val="single" w:sz="4" w:space="0" w:color="auto"/>
      </w:pBdr>
      <w:shd w:val="clear" w:color="auto" w:fill="CCFFCC"/>
      <w:spacing w:before="100" w:beforeAutospacing="1" w:after="100" w:afterAutospacing="1"/>
      <w:ind w:firstLineChars="100" w:firstLine="100"/>
    </w:pPr>
    <w:rPr>
      <w:color w:val="0000FF"/>
      <w:u w:val="single"/>
      <w:lang w:val="en-GB" w:eastAsia="en-GB"/>
    </w:rPr>
  </w:style>
  <w:style w:type="paragraph" w:customStyle="1" w:styleId="xl32">
    <w:name w:val="xl32"/>
    <w:basedOn w:val="Normal"/>
    <w:uiPriority w:val="99"/>
    <w:rsid w:val="00B15AC9"/>
    <w:pPr>
      <w:pBdr>
        <w:top w:val="single" w:sz="4" w:space="0" w:color="auto"/>
        <w:left w:val="single" w:sz="4" w:space="9" w:color="auto"/>
        <w:bottom w:val="single" w:sz="4" w:space="0" w:color="auto"/>
        <w:right w:val="single" w:sz="4" w:space="0" w:color="auto"/>
      </w:pBdr>
      <w:shd w:val="clear" w:color="auto" w:fill="CCFFFF"/>
      <w:spacing w:before="100" w:beforeAutospacing="1" w:after="100" w:afterAutospacing="1"/>
      <w:ind w:firstLineChars="100" w:firstLine="100"/>
    </w:pPr>
    <w:rPr>
      <w:color w:val="0000FF"/>
      <w:u w:val="single"/>
      <w:lang w:val="en-GB" w:eastAsia="en-GB"/>
    </w:rPr>
  </w:style>
  <w:style w:type="paragraph" w:customStyle="1" w:styleId="xl33">
    <w:name w:val="xl33"/>
    <w:basedOn w:val="Normal"/>
    <w:uiPriority w:val="99"/>
    <w:rsid w:val="00B15AC9"/>
    <w:pPr>
      <w:pBdr>
        <w:top w:val="single" w:sz="4" w:space="0" w:color="auto"/>
      </w:pBdr>
      <w:spacing w:before="100" w:beforeAutospacing="1" w:after="100" w:afterAutospacing="1"/>
    </w:pPr>
    <w:rPr>
      <w:rFonts w:ascii="Arial" w:hAnsi="Arial" w:cs="Arial"/>
      <w:b/>
      <w:bCs/>
      <w:lang w:val="en-GB" w:eastAsia="en-GB"/>
    </w:rPr>
  </w:style>
  <w:style w:type="paragraph" w:customStyle="1" w:styleId="xl34">
    <w:name w:val="xl34"/>
    <w:basedOn w:val="Normal"/>
    <w:uiPriority w:val="99"/>
    <w:rsid w:val="00B15AC9"/>
    <w:pPr>
      <w:pBdr>
        <w:top w:val="single" w:sz="4" w:space="0" w:color="auto"/>
      </w:pBdr>
      <w:spacing w:before="100" w:beforeAutospacing="1" w:after="100" w:afterAutospacing="1"/>
    </w:pPr>
    <w:rPr>
      <w:lang w:val="en-GB" w:eastAsia="en-GB"/>
    </w:rPr>
  </w:style>
  <w:style w:type="paragraph" w:customStyle="1" w:styleId="xl35">
    <w:name w:val="xl35"/>
    <w:basedOn w:val="Normal"/>
    <w:uiPriority w:val="99"/>
    <w:rsid w:val="00B15AC9"/>
    <w:pPr>
      <w:pBdr>
        <w:top w:val="single" w:sz="4" w:space="0" w:color="auto"/>
      </w:pBdr>
      <w:spacing w:before="100" w:beforeAutospacing="1" w:after="100" w:afterAutospacing="1"/>
    </w:pPr>
    <w:rPr>
      <w:lang w:val="en-GB" w:eastAsia="en-GB"/>
    </w:rPr>
  </w:style>
  <w:style w:type="paragraph" w:customStyle="1" w:styleId="xl36">
    <w:name w:val="xl36"/>
    <w:basedOn w:val="Normal"/>
    <w:uiPriority w:val="99"/>
    <w:rsid w:val="00B15AC9"/>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pPr>
    <w:rPr>
      <w:color w:val="0000FF"/>
      <w:u w:val="single"/>
      <w:lang w:val="en-GB" w:eastAsia="en-GB"/>
    </w:rPr>
  </w:style>
  <w:style w:type="paragraph" w:customStyle="1" w:styleId="xl37">
    <w:name w:val="xl37"/>
    <w:basedOn w:val="Normal"/>
    <w:uiPriority w:val="99"/>
    <w:rsid w:val="00B15AC9"/>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38">
    <w:name w:val="xl38"/>
    <w:basedOn w:val="Normal"/>
    <w:uiPriority w:val="99"/>
    <w:rsid w:val="00B15AC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hAnsi="Arial" w:cs="Arial"/>
      <w:b/>
      <w:bCs/>
      <w:lang w:val="en-GB" w:eastAsia="en-GB"/>
    </w:rPr>
  </w:style>
  <w:style w:type="paragraph" w:customStyle="1" w:styleId="xl39">
    <w:name w:val="xl39"/>
    <w:basedOn w:val="Normal"/>
    <w:uiPriority w:val="99"/>
    <w:rsid w:val="00B15AC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lang w:val="en-GB" w:eastAsia="en-GB"/>
    </w:rPr>
  </w:style>
  <w:style w:type="paragraph" w:customStyle="1" w:styleId="xl40">
    <w:name w:val="xl40"/>
    <w:basedOn w:val="Normal"/>
    <w:uiPriority w:val="99"/>
    <w:rsid w:val="00B15AC9"/>
    <w:pPr>
      <w:pBdr>
        <w:top w:val="single" w:sz="4" w:space="0" w:color="auto"/>
        <w:left w:val="single" w:sz="4" w:space="9" w:color="auto"/>
        <w:bottom w:val="single" w:sz="4" w:space="0" w:color="auto"/>
        <w:right w:val="single" w:sz="4" w:space="0" w:color="auto"/>
      </w:pBdr>
      <w:shd w:val="clear" w:color="auto" w:fill="CCFFFF"/>
      <w:spacing w:before="100" w:beforeAutospacing="1" w:after="100" w:afterAutospacing="1"/>
      <w:ind w:firstLineChars="100" w:firstLine="100"/>
    </w:pPr>
    <w:rPr>
      <w:color w:val="0000FF"/>
      <w:u w:val="single"/>
      <w:lang w:val="en-GB" w:eastAsia="en-GB"/>
    </w:rPr>
  </w:style>
  <w:style w:type="paragraph" w:customStyle="1" w:styleId="xl41">
    <w:name w:val="xl41"/>
    <w:basedOn w:val="Normal"/>
    <w:uiPriority w:val="99"/>
    <w:rsid w:val="00B15AC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lang w:val="en-GB" w:eastAsia="en-GB"/>
    </w:rPr>
  </w:style>
  <w:style w:type="paragraph" w:customStyle="1" w:styleId="xl42">
    <w:name w:val="xl42"/>
    <w:basedOn w:val="Normal"/>
    <w:uiPriority w:val="99"/>
    <w:rsid w:val="00B15AC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lang w:val="en-GB" w:eastAsia="en-GB"/>
    </w:rPr>
  </w:style>
  <w:style w:type="paragraph" w:customStyle="1" w:styleId="xl43">
    <w:name w:val="xl43"/>
    <w:basedOn w:val="Normal"/>
    <w:uiPriority w:val="99"/>
    <w:rsid w:val="00B15AC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lang w:val="en-GB" w:eastAsia="en-GB"/>
    </w:rPr>
  </w:style>
  <w:style w:type="paragraph" w:customStyle="1" w:styleId="xl45">
    <w:name w:val="xl45"/>
    <w:basedOn w:val="Normal"/>
    <w:uiPriority w:val="99"/>
    <w:rsid w:val="00B15AC9"/>
    <w:pPr>
      <w:shd w:val="clear" w:color="auto" w:fill="CC99FF"/>
      <w:spacing w:before="100" w:beforeAutospacing="1" w:after="100" w:afterAutospacing="1"/>
    </w:pPr>
    <w:rPr>
      <w:color w:val="0000FF"/>
      <w:lang w:val="en-GB" w:eastAsia="en-GB"/>
    </w:rPr>
  </w:style>
  <w:style w:type="paragraph" w:customStyle="1" w:styleId="xl46">
    <w:name w:val="xl46"/>
    <w:basedOn w:val="Normal"/>
    <w:uiPriority w:val="99"/>
    <w:rsid w:val="00B15AC9"/>
    <w:pPr>
      <w:pBdr>
        <w:top w:val="single" w:sz="4" w:space="0" w:color="auto"/>
        <w:left w:val="single" w:sz="4" w:space="0" w:color="auto"/>
        <w:bottom w:val="single" w:sz="4" w:space="0" w:color="auto"/>
      </w:pBdr>
      <w:shd w:val="clear" w:color="auto" w:fill="CCFFFF"/>
      <w:spacing w:before="100" w:beforeAutospacing="1" w:after="100" w:afterAutospacing="1"/>
    </w:pPr>
    <w:rPr>
      <w:rFonts w:ascii="Arial" w:hAnsi="Arial" w:cs="Arial"/>
      <w:b/>
      <w:bCs/>
      <w:lang w:val="en-GB" w:eastAsia="en-GB"/>
    </w:rPr>
  </w:style>
  <w:style w:type="paragraph" w:customStyle="1" w:styleId="xl47">
    <w:name w:val="xl47"/>
    <w:basedOn w:val="Normal"/>
    <w:uiPriority w:val="99"/>
    <w:rsid w:val="00B15AC9"/>
    <w:pPr>
      <w:pBdr>
        <w:top w:val="single" w:sz="4" w:space="0" w:color="auto"/>
        <w:bottom w:val="single" w:sz="4" w:space="0" w:color="auto"/>
      </w:pBdr>
      <w:spacing w:before="100" w:beforeAutospacing="1" w:after="100" w:afterAutospacing="1"/>
    </w:pPr>
    <w:rPr>
      <w:lang w:val="en-GB" w:eastAsia="en-GB"/>
    </w:rPr>
  </w:style>
  <w:style w:type="paragraph" w:customStyle="1" w:styleId="xl48">
    <w:name w:val="xl48"/>
    <w:basedOn w:val="Normal"/>
    <w:uiPriority w:val="99"/>
    <w:rsid w:val="00B15AC9"/>
    <w:pPr>
      <w:pBdr>
        <w:top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49">
    <w:name w:val="xl49"/>
    <w:basedOn w:val="Normal"/>
    <w:uiPriority w:val="99"/>
    <w:rsid w:val="00B15AC9"/>
    <w:pPr>
      <w:pBdr>
        <w:top w:val="single" w:sz="4" w:space="0" w:color="auto"/>
        <w:left w:val="single" w:sz="4" w:space="0" w:color="auto"/>
        <w:bottom w:val="single" w:sz="4" w:space="0" w:color="auto"/>
      </w:pBdr>
      <w:shd w:val="clear" w:color="auto" w:fill="CCFFCC"/>
      <w:spacing w:before="100" w:beforeAutospacing="1" w:after="100" w:afterAutospacing="1"/>
    </w:pPr>
    <w:rPr>
      <w:rFonts w:ascii="Arial" w:hAnsi="Arial" w:cs="Arial"/>
      <w:b/>
      <w:bCs/>
      <w:lang w:val="en-GB" w:eastAsia="en-GB"/>
    </w:rPr>
  </w:style>
  <w:style w:type="character" w:styleId="CommentReference">
    <w:name w:val="annotation reference"/>
    <w:basedOn w:val="DefaultParagraphFont"/>
    <w:uiPriority w:val="99"/>
    <w:semiHidden/>
    <w:rsid w:val="00B15AC9"/>
    <w:rPr>
      <w:rFonts w:cs="Times New Roman"/>
      <w:sz w:val="16"/>
      <w:szCs w:val="16"/>
    </w:rPr>
  </w:style>
  <w:style w:type="paragraph" w:styleId="CommentText">
    <w:name w:val="annotation text"/>
    <w:basedOn w:val="Normal"/>
    <w:link w:val="CommentTextChar"/>
    <w:uiPriority w:val="99"/>
    <w:semiHidden/>
    <w:rsid w:val="00B15AC9"/>
    <w:rPr>
      <w:sz w:val="20"/>
      <w:szCs w:val="20"/>
      <w:lang w:val="en-AU" w:eastAsia="en-US"/>
    </w:rPr>
  </w:style>
  <w:style w:type="character" w:customStyle="1" w:styleId="CommentTextChar">
    <w:name w:val="Comment Text Char"/>
    <w:basedOn w:val="DefaultParagraphFont"/>
    <w:link w:val="CommentText"/>
    <w:uiPriority w:val="99"/>
    <w:semiHidden/>
    <w:locked/>
    <w:rsid w:val="00B15AC9"/>
    <w:rPr>
      <w:rFonts w:ascii="Calibri" w:hAnsi="Calibri" w:cs="Times New Roman"/>
      <w:sz w:val="20"/>
      <w:szCs w:val="20"/>
      <w:lang w:val="en-AU"/>
    </w:rPr>
  </w:style>
  <w:style w:type="paragraph" w:styleId="BalloonText">
    <w:name w:val="Balloon Text"/>
    <w:basedOn w:val="Normal"/>
    <w:link w:val="BalloonTextChar"/>
    <w:uiPriority w:val="99"/>
    <w:semiHidden/>
    <w:rsid w:val="00B15AC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15AC9"/>
    <w:rPr>
      <w:rFonts w:ascii="Tahoma" w:hAnsi="Tahoma" w:cs="Tahoma"/>
      <w:sz w:val="16"/>
      <w:szCs w:val="16"/>
      <w:lang w:eastAsia="en-AU"/>
    </w:rPr>
  </w:style>
  <w:style w:type="paragraph" w:styleId="NoSpacing">
    <w:name w:val="No Spacing"/>
    <w:link w:val="NoSpacingChar"/>
    <w:uiPriority w:val="99"/>
    <w:qFormat/>
    <w:rsid w:val="00B15AC9"/>
    <w:rPr>
      <w:rFonts w:eastAsia="Times New Roman"/>
      <w:sz w:val="22"/>
      <w:szCs w:val="22"/>
      <w:lang w:val="en-US" w:eastAsia="en-US"/>
    </w:rPr>
  </w:style>
  <w:style w:type="character" w:customStyle="1" w:styleId="NoSpacingChar">
    <w:name w:val="No Spacing Char"/>
    <w:basedOn w:val="DefaultParagraphFont"/>
    <w:link w:val="NoSpacing"/>
    <w:uiPriority w:val="99"/>
    <w:locked/>
    <w:rsid w:val="00B15AC9"/>
    <w:rPr>
      <w:rFonts w:eastAsia="Times New Roman"/>
      <w:sz w:val="22"/>
      <w:szCs w:val="22"/>
      <w:lang w:val="en-US" w:eastAsia="en-US" w:bidi="ar-SA"/>
    </w:rPr>
  </w:style>
  <w:style w:type="paragraph" w:styleId="ListParagraph">
    <w:name w:val="List Paragraph"/>
    <w:basedOn w:val="Normal"/>
    <w:uiPriority w:val="34"/>
    <w:qFormat/>
    <w:rsid w:val="00B15AC9"/>
    <w:pPr>
      <w:spacing w:after="200" w:line="276" w:lineRule="auto"/>
      <w:ind w:left="720"/>
      <w:contextualSpacing/>
    </w:pPr>
    <w:rPr>
      <w:rFonts w:cs="Calibri"/>
      <w:sz w:val="22"/>
      <w:szCs w:val="22"/>
      <w:lang w:eastAsia="en-US"/>
    </w:rPr>
  </w:style>
  <w:style w:type="character" w:customStyle="1" w:styleId="Char5">
    <w:name w:val="Char5"/>
    <w:basedOn w:val="DefaultParagraphFont"/>
    <w:uiPriority w:val="99"/>
    <w:semiHidden/>
    <w:rsid w:val="00B15AC9"/>
    <w:rPr>
      <w:rFonts w:ascii="Times New Roman" w:hAnsi="Times New Roman" w:cs="Times New Roman"/>
      <w:sz w:val="20"/>
      <w:szCs w:val="20"/>
      <w:lang w:val="en-AU"/>
    </w:rPr>
  </w:style>
  <w:style w:type="paragraph" w:styleId="CommentSubject">
    <w:name w:val="annotation subject"/>
    <w:basedOn w:val="CommentText"/>
    <w:next w:val="CommentText"/>
    <w:link w:val="CommentSubjectChar"/>
    <w:uiPriority w:val="99"/>
    <w:semiHidden/>
    <w:rsid w:val="00B15AC9"/>
    <w:rPr>
      <w:b/>
      <w:bCs/>
      <w:lang w:val="en-NZ" w:eastAsia="en-AU"/>
    </w:rPr>
  </w:style>
  <w:style w:type="character" w:customStyle="1" w:styleId="CommentSubjectChar">
    <w:name w:val="Comment Subject Char"/>
    <w:basedOn w:val="CommentTextChar"/>
    <w:link w:val="CommentSubject"/>
    <w:uiPriority w:val="99"/>
    <w:semiHidden/>
    <w:locked/>
    <w:rsid w:val="00B15AC9"/>
    <w:rPr>
      <w:rFonts w:ascii="Calibri" w:hAnsi="Calibri" w:cs="Times New Roman"/>
      <w:b/>
      <w:bCs/>
      <w:sz w:val="20"/>
      <w:szCs w:val="20"/>
      <w:lang w:val="en-AU" w:eastAsia="en-AU"/>
    </w:rPr>
  </w:style>
  <w:style w:type="paragraph" w:styleId="DocumentMap">
    <w:name w:val="Document Map"/>
    <w:basedOn w:val="Normal"/>
    <w:link w:val="DocumentMapChar"/>
    <w:uiPriority w:val="99"/>
    <w:semiHidden/>
    <w:rsid w:val="00B15AC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B15AC9"/>
    <w:rPr>
      <w:rFonts w:ascii="Tahoma" w:hAnsi="Tahoma" w:cs="Tahoma"/>
      <w:sz w:val="24"/>
      <w:szCs w:val="24"/>
      <w:shd w:val="clear" w:color="auto" w:fill="000080"/>
      <w:lang w:eastAsia="en-AU"/>
    </w:rPr>
  </w:style>
  <w:style w:type="paragraph" w:customStyle="1" w:styleId="bulletpoints">
    <w:name w:val="bullet points"/>
    <w:basedOn w:val="Normal"/>
    <w:uiPriority w:val="99"/>
    <w:rsid w:val="00B15AC9"/>
    <w:pPr>
      <w:numPr>
        <w:numId w:val="9"/>
      </w:numPr>
    </w:pPr>
  </w:style>
  <w:style w:type="character" w:customStyle="1" w:styleId="Char">
    <w:name w:val="Char"/>
    <w:basedOn w:val="DefaultParagraphFont"/>
    <w:uiPriority w:val="99"/>
    <w:semiHidden/>
    <w:rsid w:val="00B15AC9"/>
    <w:rPr>
      <w:rFonts w:cs="Times New Roman"/>
      <w:sz w:val="24"/>
      <w:szCs w:val="24"/>
      <w:lang w:val="en-US" w:eastAsia="en-US"/>
    </w:rPr>
  </w:style>
  <w:style w:type="paragraph" w:customStyle="1" w:styleId="Char1CharChar">
    <w:name w:val="Char1 Char Char"/>
    <w:basedOn w:val="Normal"/>
    <w:uiPriority w:val="99"/>
    <w:rsid w:val="00B15AC9"/>
    <w:pPr>
      <w:spacing w:after="160" w:line="240" w:lineRule="exact"/>
    </w:pPr>
    <w:rPr>
      <w:rFonts w:ascii="Arial" w:hAnsi="Arial" w:cs="Arial"/>
      <w:sz w:val="20"/>
      <w:szCs w:val="20"/>
      <w:lang w:val="en-US" w:eastAsia="en-US"/>
    </w:rPr>
  </w:style>
  <w:style w:type="paragraph" w:customStyle="1" w:styleId="layout">
    <w:name w:val="layout"/>
    <w:basedOn w:val="Normal"/>
    <w:uiPriority w:val="99"/>
    <w:rsid w:val="00B15AC9"/>
    <w:pPr>
      <w:spacing w:before="100" w:beforeAutospacing="1" w:after="100" w:afterAutospacing="1"/>
    </w:pPr>
    <w:rPr>
      <w:lang w:val="en-US" w:eastAsia="en-US"/>
    </w:rPr>
  </w:style>
  <w:style w:type="paragraph" w:customStyle="1" w:styleId="zTableFootnote">
    <w:name w:val="zTable Footnote"/>
    <w:basedOn w:val="Normal"/>
    <w:uiPriority w:val="99"/>
    <w:rsid w:val="00B15AC9"/>
    <w:pPr>
      <w:keepLines/>
      <w:overflowPunct w:val="0"/>
      <w:autoSpaceDE w:val="0"/>
      <w:autoSpaceDN w:val="0"/>
      <w:adjustRightInd w:val="0"/>
      <w:textAlignment w:val="baseline"/>
    </w:pPr>
    <w:rPr>
      <w:rFonts w:ascii="Arial" w:hAnsi="Arial"/>
      <w:sz w:val="17"/>
      <w:szCs w:val="20"/>
      <w:lang w:eastAsia="en-US"/>
    </w:rPr>
  </w:style>
  <w:style w:type="paragraph" w:customStyle="1" w:styleId="zTableBody">
    <w:name w:val="zTable Body"/>
    <w:basedOn w:val="Normal"/>
    <w:uiPriority w:val="99"/>
    <w:rsid w:val="00B15AC9"/>
    <w:pPr>
      <w:keepNext/>
      <w:spacing w:before="60" w:after="60"/>
    </w:pPr>
    <w:rPr>
      <w:rFonts w:ascii="Arial" w:eastAsia="Calibri" w:hAnsi="Arial"/>
      <w:sz w:val="16"/>
      <w:szCs w:val="22"/>
      <w:lang w:eastAsia="en-US"/>
    </w:rPr>
  </w:style>
  <w:style w:type="paragraph" w:styleId="Caption">
    <w:name w:val="caption"/>
    <w:basedOn w:val="Normal"/>
    <w:next w:val="Normal"/>
    <w:uiPriority w:val="99"/>
    <w:qFormat/>
    <w:rsid w:val="00B15AC9"/>
    <w:pPr>
      <w:keepNext/>
      <w:spacing w:before="240"/>
    </w:pPr>
    <w:rPr>
      <w:rFonts w:ascii="Arial" w:eastAsia="Calibri" w:hAnsi="Arial"/>
      <w:bCs/>
      <w:color w:val="437317"/>
      <w:sz w:val="18"/>
      <w:szCs w:val="18"/>
      <w:lang w:eastAsia="en-US"/>
    </w:rPr>
  </w:style>
  <w:style w:type="paragraph" w:customStyle="1" w:styleId="zNumTxt">
    <w:name w:val="zNum Txt"/>
    <w:basedOn w:val="Normal"/>
    <w:uiPriority w:val="99"/>
    <w:rsid w:val="00B15AC9"/>
    <w:pPr>
      <w:numPr>
        <w:numId w:val="10"/>
      </w:numPr>
      <w:spacing w:after="180" w:line="276" w:lineRule="auto"/>
    </w:pPr>
    <w:rPr>
      <w:rFonts w:ascii="Arial" w:eastAsia="Calibri" w:hAnsi="Arial"/>
      <w:sz w:val="20"/>
      <w:szCs w:val="22"/>
      <w:lang w:eastAsia="en-US"/>
    </w:rPr>
  </w:style>
  <w:style w:type="paragraph" w:customStyle="1" w:styleId="ecxmsonormal">
    <w:name w:val="ecxmsonormal"/>
    <w:basedOn w:val="Normal"/>
    <w:rsid w:val="00B15AC9"/>
    <w:pPr>
      <w:spacing w:after="324"/>
    </w:pPr>
    <w:rPr>
      <w:lang w:eastAsia="en-NZ"/>
    </w:rPr>
  </w:style>
  <w:style w:type="paragraph" w:customStyle="1" w:styleId="ecxmsofootnotetext">
    <w:name w:val="ecxmsofootnotetext"/>
    <w:basedOn w:val="Normal"/>
    <w:rsid w:val="00B15AC9"/>
    <w:pPr>
      <w:spacing w:after="324"/>
    </w:pPr>
    <w:rPr>
      <w:lang w:eastAsia="en-NZ"/>
    </w:rPr>
  </w:style>
  <w:style w:type="paragraph" w:customStyle="1" w:styleId="ecximprint">
    <w:name w:val="ecximprint"/>
    <w:basedOn w:val="Normal"/>
    <w:uiPriority w:val="99"/>
    <w:rsid w:val="00B15AC9"/>
    <w:pPr>
      <w:spacing w:after="324"/>
    </w:pPr>
    <w:rPr>
      <w:lang w:eastAsia="en-NZ"/>
    </w:rPr>
  </w:style>
  <w:style w:type="character" w:customStyle="1" w:styleId="bibrecord-highlight-user">
    <w:name w:val="bibrecord-highlight-user"/>
    <w:basedOn w:val="DefaultParagraphFont"/>
    <w:uiPriority w:val="99"/>
    <w:rsid w:val="00B15AC9"/>
    <w:rPr>
      <w:rFonts w:cs="Times New Roman"/>
    </w:rPr>
  </w:style>
  <w:style w:type="paragraph" w:customStyle="1" w:styleId="Bullet">
    <w:name w:val="Bullet"/>
    <w:basedOn w:val="Normal"/>
    <w:uiPriority w:val="99"/>
    <w:rsid w:val="00B15AC9"/>
    <w:pPr>
      <w:numPr>
        <w:numId w:val="11"/>
      </w:numPr>
      <w:spacing w:before="120"/>
    </w:pPr>
    <w:rPr>
      <w:sz w:val="22"/>
      <w:szCs w:val="20"/>
      <w:lang w:eastAsia="en-GB"/>
    </w:rPr>
  </w:style>
  <w:style w:type="paragraph" w:customStyle="1" w:styleId="Style1">
    <w:name w:val="Style1"/>
    <w:basedOn w:val="TOC3"/>
    <w:autoRedefine/>
    <w:uiPriority w:val="99"/>
    <w:rsid w:val="00B15AC9"/>
    <w:pPr>
      <w:tabs>
        <w:tab w:val="right" w:leader="dot" w:pos="8302"/>
      </w:tabs>
    </w:pPr>
    <w:rPr>
      <w:noProof/>
    </w:rPr>
  </w:style>
  <w:style w:type="paragraph" w:customStyle="1" w:styleId="Style2">
    <w:name w:val="Style2"/>
    <w:basedOn w:val="TOC3"/>
    <w:autoRedefine/>
    <w:uiPriority w:val="99"/>
    <w:rsid w:val="00B15AC9"/>
    <w:pPr>
      <w:tabs>
        <w:tab w:val="right" w:leader="dot" w:pos="8302"/>
      </w:tabs>
    </w:pPr>
    <w:rPr>
      <w:noProof/>
    </w:rPr>
  </w:style>
  <w:style w:type="paragraph" w:customStyle="1" w:styleId="Style3">
    <w:name w:val="Style3"/>
    <w:basedOn w:val="Heading2"/>
    <w:uiPriority w:val="99"/>
    <w:rsid w:val="00B15AC9"/>
    <w:rPr>
      <w:rFonts w:cs="Calibri"/>
      <w:b w:val="0"/>
      <w:bCs w:val="0"/>
      <w:color w:val="3366FF"/>
      <w:kern w:val="32"/>
      <w:szCs w:val="24"/>
    </w:rPr>
  </w:style>
  <w:style w:type="paragraph" w:customStyle="1" w:styleId="Style4">
    <w:name w:val="Style4"/>
    <w:basedOn w:val="Style2"/>
    <w:uiPriority w:val="99"/>
    <w:rsid w:val="00B15AC9"/>
  </w:style>
  <w:style w:type="paragraph" w:customStyle="1" w:styleId="Style5">
    <w:name w:val="Style5"/>
    <w:basedOn w:val="Heading2"/>
    <w:uiPriority w:val="99"/>
    <w:rsid w:val="00B15AC9"/>
  </w:style>
  <w:style w:type="paragraph" w:customStyle="1" w:styleId="Style6">
    <w:name w:val="Style6"/>
    <w:basedOn w:val="Heading2"/>
    <w:next w:val="Style3"/>
    <w:autoRedefine/>
    <w:uiPriority w:val="99"/>
    <w:rsid w:val="00B15AC9"/>
    <w:rPr>
      <w:color w:val="548DD4"/>
      <w:kern w:val="32"/>
    </w:rPr>
  </w:style>
  <w:style w:type="paragraph" w:customStyle="1" w:styleId="Style7">
    <w:name w:val="Style7"/>
    <w:basedOn w:val="TOC3"/>
    <w:autoRedefine/>
    <w:uiPriority w:val="99"/>
    <w:rsid w:val="00B15AC9"/>
    <w:pPr>
      <w:tabs>
        <w:tab w:val="right" w:leader="dot" w:pos="8302"/>
      </w:tabs>
    </w:pPr>
    <w:rPr>
      <w:noProof/>
    </w:rPr>
  </w:style>
  <w:style w:type="paragraph" w:customStyle="1" w:styleId="Style8">
    <w:name w:val="Style8"/>
    <w:basedOn w:val="TOC3"/>
    <w:autoRedefine/>
    <w:uiPriority w:val="99"/>
    <w:rsid w:val="00B15AC9"/>
    <w:pPr>
      <w:tabs>
        <w:tab w:val="right" w:leader="dot" w:pos="8302"/>
      </w:tabs>
    </w:pPr>
    <w:rPr>
      <w:noProof/>
    </w:rPr>
  </w:style>
  <w:style w:type="paragraph" w:customStyle="1" w:styleId="Style9">
    <w:name w:val="Style9"/>
    <w:basedOn w:val="TOC2"/>
    <w:autoRedefine/>
    <w:uiPriority w:val="99"/>
    <w:rsid w:val="00B15AC9"/>
  </w:style>
  <w:style w:type="paragraph" w:customStyle="1" w:styleId="Style10">
    <w:name w:val="Style10"/>
    <w:basedOn w:val="Style2"/>
    <w:autoRedefine/>
    <w:uiPriority w:val="99"/>
    <w:rsid w:val="00B15AC9"/>
  </w:style>
  <w:style w:type="paragraph" w:customStyle="1" w:styleId="Style11">
    <w:name w:val="Style11"/>
    <w:basedOn w:val="Style2"/>
    <w:autoRedefine/>
    <w:uiPriority w:val="99"/>
    <w:rsid w:val="00B15AC9"/>
  </w:style>
  <w:style w:type="paragraph" w:customStyle="1" w:styleId="Style12">
    <w:name w:val="Style12"/>
    <w:basedOn w:val="TOC3"/>
    <w:autoRedefine/>
    <w:uiPriority w:val="99"/>
    <w:rsid w:val="00B15AC9"/>
    <w:pPr>
      <w:tabs>
        <w:tab w:val="left" w:pos="5295"/>
      </w:tabs>
      <w:jc w:val="both"/>
    </w:pPr>
    <w:rPr>
      <w:szCs w:val="22"/>
    </w:rPr>
  </w:style>
  <w:style w:type="paragraph" w:customStyle="1" w:styleId="Style13">
    <w:name w:val="Style13"/>
    <w:basedOn w:val="Heading2"/>
    <w:autoRedefine/>
    <w:uiPriority w:val="99"/>
    <w:rsid w:val="00B15AC9"/>
    <w:rPr>
      <w:sz w:val="20"/>
    </w:rPr>
  </w:style>
  <w:style w:type="paragraph" w:customStyle="1" w:styleId="Style14">
    <w:name w:val="Style14"/>
    <w:basedOn w:val="TOC3"/>
    <w:uiPriority w:val="99"/>
    <w:rsid w:val="00B15AC9"/>
    <w:pPr>
      <w:tabs>
        <w:tab w:val="right" w:leader="dot" w:pos="8302"/>
      </w:tabs>
    </w:pPr>
  </w:style>
  <w:style w:type="paragraph" w:customStyle="1" w:styleId="Style15">
    <w:name w:val="Style15"/>
    <w:basedOn w:val="TOC2"/>
    <w:uiPriority w:val="99"/>
    <w:rsid w:val="00B15AC9"/>
  </w:style>
  <w:style w:type="paragraph" w:customStyle="1" w:styleId="Style16">
    <w:name w:val="Style16"/>
    <w:basedOn w:val="TOC2"/>
    <w:next w:val="Style15"/>
    <w:uiPriority w:val="99"/>
    <w:rsid w:val="00B15AC9"/>
  </w:style>
  <w:style w:type="paragraph" w:styleId="TOCHeading">
    <w:name w:val="TOC Heading"/>
    <w:basedOn w:val="Heading1"/>
    <w:next w:val="Normal"/>
    <w:uiPriority w:val="99"/>
    <w:qFormat/>
    <w:rsid w:val="00B15AC9"/>
    <w:pPr>
      <w:keepLines/>
      <w:spacing w:before="480" w:after="0" w:line="276" w:lineRule="auto"/>
      <w:outlineLvl w:val="9"/>
    </w:pPr>
    <w:rPr>
      <w:rFonts w:ascii="Cambria" w:hAnsi="Cambria" w:cs="Times New Roman"/>
      <w:color w:val="365F91"/>
      <w:kern w:val="0"/>
      <w:sz w:val="28"/>
      <w:szCs w:val="28"/>
      <w:lang w:val="en-US" w:eastAsia="en-US"/>
    </w:rPr>
  </w:style>
  <w:style w:type="paragraph" w:customStyle="1" w:styleId="References">
    <w:name w:val="References"/>
    <w:basedOn w:val="Normal"/>
    <w:uiPriority w:val="99"/>
    <w:rsid w:val="00B15AC9"/>
    <w:pPr>
      <w:spacing w:before="180" w:line="300" w:lineRule="auto"/>
      <w:jc w:val="both"/>
    </w:pPr>
    <w:rPr>
      <w:rFonts w:ascii="Arial" w:hAnsi="Arial" w:cs="Arial"/>
      <w:sz w:val="22"/>
      <w:lang w:eastAsia="en-GB"/>
    </w:rPr>
  </w:style>
  <w:style w:type="paragraph" w:customStyle="1" w:styleId="Style17">
    <w:name w:val="Style17"/>
    <w:basedOn w:val="Heading2"/>
    <w:uiPriority w:val="99"/>
    <w:rsid w:val="00B15AC9"/>
    <w:pPr>
      <w:spacing w:before="120" w:after="120"/>
      <w:jc w:val="both"/>
    </w:pPr>
    <w:rPr>
      <w:sz w:val="22"/>
      <w:szCs w:val="22"/>
    </w:rPr>
  </w:style>
  <w:style w:type="paragraph" w:customStyle="1" w:styleId="Number">
    <w:name w:val="Number"/>
    <w:basedOn w:val="Normal"/>
    <w:link w:val="NumberChar"/>
    <w:uiPriority w:val="99"/>
    <w:rsid w:val="00B15AC9"/>
    <w:pPr>
      <w:numPr>
        <w:numId w:val="12"/>
      </w:numPr>
      <w:spacing w:before="180" w:line="276" w:lineRule="auto"/>
    </w:pPr>
    <w:rPr>
      <w:rFonts w:ascii="Arial" w:hAnsi="Arial"/>
      <w:sz w:val="20"/>
      <w:szCs w:val="20"/>
      <w:lang w:eastAsia="en-GB"/>
    </w:rPr>
  </w:style>
  <w:style w:type="character" w:customStyle="1" w:styleId="NumberChar">
    <w:name w:val="Number Char"/>
    <w:basedOn w:val="DefaultParagraphFont"/>
    <w:link w:val="Number"/>
    <w:uiPriority w:val="99"/>
    <w:locked/>
    <w:rsid w:val="00B15AC9"/>
    <w:rPr>
      <w:rFonts w:ascii="Arial" w:eastAsia="Times New Roman" w:hAnsi="Arial"/>
      <w:lang w:eastAsia="en-GB"/>
    </w:rPr>
  </w:style>
  <w:style w:type="paragraph" w:customStyle="1" w:styleId="Style18">
    <w:name w:val="Style18"/>
    <w:basedOn w:val="TOC3"/>
    <w:autoRedefine/>
    <w:uiPriority w:val="99"/>
    <w:rsid w:val="00B15AC9"/>
    <w:pPr>
      <w:tabs>
        <w:tab w:val="right" w:leader="dot" w:pos="8302"/>
      </w:tabs>
    </w:pPr>
  </w:style>
  <w:style w:type="character" w:customStyle="1" w:styleId="yiv562286838msid3911">
    <w:name w:val="yiv562286838msid3911"/>
    <w:basedOn w:val="DefaultParagraphFont"/>
    <w:uiPriority w:val="99"/>
    <w:rsid w:val="00B15AC9"/>
    <w:rPr>
      <w:rFonts w:cs="Times New Roman"/>
    </w:rPr>
  </w:style>
  <w:style w:type="character" w:customStyle="1" w:styleId="yiv562286838msid3913">
    <w:name w:val="yiv562286838msid3913"/>
    <w:basedOn w:val="DefaultParagraphFont"/>
    <w:uiPriority w:val="99"/>
    <w:rsid w:val="00B15AC9"/>
    <w:rPr>
      <w:rFonts w:cs="Times New Roman"/>
    </w:rPr>
  </w:style>
  <w:style w:type="paragraph" w:customStyle="1" w:styleId="Style19">
    <w:name w:val="Style19"/>
    <w:basedOn w:val="Normal"/>
    <w:uiPriority w:val="99"/>
    <w:rsid w:val="00B15AC9"/>
    <w:pPr>
      <w:tabs>
        <w:tab w:val="left" w:pos="3960"/>
      </w:tabs>
      <w:jc w:val="right"/>
    </w:pPr>
    <w:rPr>
      <w:rFonts w:cs="Calibri"/>
      <w:b/>
      <w:sz w:val="56"/>
      <w:szCs w:val="56"/>
    </w:rPr>
  </w:style>
  <w:style w:type="numbering" w:customStyle="1" w:styleId="zParaNumbersbullets">
    <w:name w:val="zPara Numbers &amp; bullets"/>
    <w:rsid w:val="003D12F4"/>
    <w:pPr>
      <w:numPr>
        <w:numId w:val="10"/>
      </w:numPr>
    </w:pPr>
  </w:style>
  <w:style w:type="character" w:customStyle="1" w:styleId="apple-converted-space">
    <w:name w:val="apple-converted-space"/>
    <w:basedOn w:val="DefaultParagraphFont"/>
    <w:rsid w:val="00A337AA"/>
  </w:style>
  <w:style w:type="paragraph" w:customStyle="1" w:styleId="CM46">
    <w:name w:val="CM46"/>
    <w:basedOn w:val="Default"/>
    <w:next w:val="Default"/>
    <w:uiPriority w:val="99"/>
    <w:rsid w:val="000E0165"/>
    <w:rPr>
      <w:rFonts w:ascii="Tiempos Text Bold" w:eastAsia="Calibri" w:hAnsi="Tiempos Text Bold"/>
      <w:color w:val="auto"/>
      <w:lang w:val="en-NZ" w:eastAsia="en-NZ"/>
    </w:rPr>
  </w:style>
  <w:style w:type="paragraph" w:customStyle="1" w:styleId="CM6">
    <w:name w:val="CM6"/>
    <w:basedOn w:val="Default"/>
    <w:next w:val="Default"/>
    <w:uiPriority w:val="99"/>
    <w:rsid w:val="000E0165"/>
    <w:pPr>
      <w:spacing w:line="258" w:lineRule="atLeast"/>
    </w:pPr>
    <w:rPr>
      <w:rFonts w:ascii="Tiempos Text Bold" w:eastAsia="Calibri" w:hAnsi="Tiempos Text Bold"/>
      <w:color w:val="auto"/>
      <w:lang w:val="en-NZ" w:eastAsia="en-NZ"/>
    </w:rPr>
  </w:style>
  <w:style w:type="paragraph" w:customStyle="1" w:styleId="CM51">
    <w:name w:val="CM51"/>
    <w:basedOn w:val="Default"/>
    <w:next w:val="Default"/>
    <w:uiPriority w:val="99"/>
    <w:rsid w:val="000E0165"/>
    <w:rPr>
      <w:rFonts w:ascii="Tiempos Text Bold" w:eastAsia="Calibri" w:hAnsi="Tiempos Text Bold"/>
      <w:color w:val="auto"/>
      <w:lang w:val="en-NZ" w:eastAsia="en-NZ"/>
    </w:rPr>
  </w:style>
  <w:style w:type="paragraph" w:customStyle="1" w:styleId="CM53">
    <w:name w:val="CM53"/>
    <w:basedOn w:val="Default"/>
    <w:next w:val="Default"/>
    <w:uiPriority w:val="99"/>
    <w:rsid w:val="000E0165"/>
    <w:rPr>
      <w:rFonts w:ascii="Tiempos Text Bold" w:eastAsia="Calibri" w:hAnsi="Tiempos Text Bold"/>
      <w:color w:val="auto"/>
      <w:lang w:val="en-NZ" w:eastAsia="en-NZ"/>
    </w:rPr>
  </w:style>
  <w:style w:type="paragraph" w:customStyle="1" w:styleId="CM41">
    <w:name w:val="CM41"/>
    <w:basedOn w:val="Default"/>
    <w:next w:val="Default"/>
    <w:uiPriority w:val="99"/>
    <w:rsid w:val="000E0165"/>
    <w:rPr>
      <w:rFonts w:ascii="Tiempos Text Bold" w:eastAsia="Calibri" w:hAnsi="Tiempos Text Bold"/>
      <w:color w:val="auto"/>
      <w:lang w:val="en-NZ" w:eastAsia="en-NZ"/>
    </w:rPr>
  </w:style>
  <w:style w:type="paragraph" w:customStyle="1" w:styleId="CM42">
    <w:name w:val="CM42"/>
    <w:basedOn w:val="Default"/>
    <w:next w:val="Default"/>
    <w:uiPriority w:val="99"/>
    <w:rsid w:val="004C7B2C"/>
    <w:rPr>
      <w:rFonts w:ascii="Tiempos Text Bold" w:eastAsia="Calibri" w:hAnsi="Tiempos Text Bold"/>
      <w:color w:val="auto"/>
      <w:lang w:val="en-NZ" w:eastAsia="en-NZ"/>
    </w:rPr>
  </w:style>
  <w:style w:type="paragraph" w:customStyle="1" w:styleId="CM21">
    <w:name w:val="CM21"/>
    <w:basedOn w:val="Default"/>
    <w:next w:val="Default"/>
    <w:uiPriority w:val="99"/>
    <w:rsid w:val="004C7B2C"/>
    <w:pPr>
      <w:spacing w:line="293" w:lineRule="atLeast"/>
    </w:pPr>
    <w:rPr>
      <w:rFonts w:ascii="Tiempos Text Bold" w:eastAsia="Calibri" w:hAnsi="Tiempos Text Bold"/>
      <w:color w:val="auto"/>
      <w:lang w:val="en-NZ" w:eastAsia="en-NZ"/>
    </w:rPr>
  </w:style>
  <w:style w:type="table" w:styleId="LightShading-Accent5">
    <w:name w:val="Light Shading Accent 5"/>
    <w:basedOn w:val="TableNormal"/>
    <w:uiPriority w:val="60"/>
    <w:rsid w:val="00EA3D30"/>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Grid-Accent5">
    <w:name w:val="Light Grid Accent 5"/>
    <w:basedOn w:val="TableNormal"/>
    <w:uiPriority w:val="62"/>
    <w:rsid w:val="00EA3D30"/>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MediumGrid1-Accent5">
    <w:name w:val="Medium Grid 1 Accent 5"/>
    <w:basedOn w:val="TableNormal"/>
    <w:uiPriority w:val="67"/>
    <w:rsid w:val="00FE4A6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LightShading-Accent3">
    <w:name w:val="Light Shading Accent 3"/>
    <w:basedOn w:val="TableNormal"/>
    <w:uiPriority w:val="60"/>
    <w:rsid w:val="001136FF"/>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Grid-Accent3">
    <w:name w:val="Light Grid Accent 3"/>
    <w:basedOn w:val="TableNormal"/>
    <w:uiPriority w:val="62"/>
    <w:rsid w:val="001136FF"/>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styleId="TOC4">
    <w:name w:val="toc 4"/>
    <w:basedOn w:val="Normal"/>
    <w:next w:val="Normal"/>
    <w:autoRedefine/>
    <w:uiPriority w:val="39"/>
    <w:locked/>
    <w:rsid w:val="00226F22"/>
  </w:style>
  <w:style w:type="paragraph" w:customStyle="1" w:styleId="Style20">
    <w:name w:val="Style20"/>
    <w:basedOn w:val="TOC1"/>
    <w:autoRedefine/>
    <w:qFormat/>
    <w:rsid w:val="00943B94"/>
    <w:rPr>
      <w:color w:val="4F6228" w:themeColor="accent3" w:themeShade="80"/>
    </w:rPr>
  </w:style>
  <w:style w:type="paragraph" w:customStyle="1" w:styleId="Style21">
    <w:name w:val="Style21"/>
    <w:basedOn w:val="TOC1"/>
    <w:autoRedefine/>
    <w:qFormat/>
    <w:rsid w:val="00943B94"/>
    <w:rPr>
      <w:color w:val="4F6228" w:themeColor="accent3" w:themeShade="80"/>
    </w:rPr>
  </w:style>
  <w:style w:type="paragraph" w:customStyle="1" w:styleId="Style22">
    <w:name w:val="Style22"/>
    <w:basedOn w:val="TOC1"/>
    <w:autoRedefine/>
    <w:qFormat/>
    <w:rsid w:val="00943B94"/>
    <w:rPr>
      <w:color w:val="auto"/>
    </w:rPr>
  </w:style>
  <w:style w:type="paragraph" w:customStyle="1" w:styleId="Style23">
    <w:name w:val="Style23"/>
    <w:basedOn w:val="TOC1"/>
    <w:autoRedefine/>
    <w:qFormat/>
    <w:rsid w:val="00943B94"/>
    <w:rPr>
      <w:color w:val="4F6228" w:themeColor="accent3" w:themeShade="80"/>
    </w:rPr>
  </w:style>
  <w:style w:type="paragraph" w:customStyle="1" w:styleId="Style24">
    <w:name w:val="Style24"/>
    <w:basedOn w:val="TOC1"/>
    <w:autoRedefine/>
    <w:qFormat/>
    <w:rsid w:val="00943B94"/>
    <w:rPr>
      <w:color w:val="4F6228" w:themeColor="accent3" w:themeShade="80"/>
    </w:rPr>
  </w:style>
  <w:style w:type="paragraph" w:customStyle="1" w:styleId="Style25">
    <w:name w:val="Style25"/>
    <w:basedOn w:val="TOC1"/>
    <w:autoRedefine/>
    <w:qFormat/>
    <w:rsid w:val="00943B94"/>
    <w:rPr>
      <w:color w:val="4F6228" w:themeColor="accent3" w:themeShade="80"/>
    </w:rPr>
  </w:style>
  <w:style w:type="paragraph" w:customStyle="1" w:styleId="Style26">
    <w:name w:val="Style26"/>
    <w:basedOn w:val="TOC1"/>
    <w:autoRedefine/>
    <w:qFormat/>
    <w:rsid w:val="00943B94"/>
    <w:rPr>
      <w:color w:val="4F6228" w:themeColor="accent3" w:themeShade="80"/>
    </w:rPr>
  </w:style>
  <w:style w:type="paragraph" w:customStyle="1" w:styleId="Style27">
    <w:name w:val="Style27"/>
    <w:basedOn w:val="TOC1"/>
    <w:autoRedefine/>
    <w:qFormat/>
    <w:rsid w:val="00943B94"/>
  </w:style>
  <w:style w:type="paragraph" w:customStyle="1" w:styleId="Style28">
    <w:name w:val="Style28"/>
    <w:basedOn w:val="Style27"/>
    <w:autoRedefine/>
    <w:qFormat/>
    <w:rsid w:val="00943B94"/>
    <w:rPr>
      <w:color w:val="4F6228" w:themeColor="accent3" w:themeShade="80"/>
    </w:rPr>
  </w:style>
  <w:style w:type="paragraph" w:customStyle="1" w:styleId="Style29">
    <w:name w:val="Style29"/>
    <w:basedOn w:val="TOC1"/>
    <w:autoRedefine/>
    <w:qFormat/>
    <w:rsid w:val="00B15AD7"/>
    <w:rPr>
      <w:color w:val="4F6228" w:themeColor="accent3" w:themeShade="80"/>
    </w:rPr>
  </w:style>
  <w:style w:type="paragraph" w:customStyle="1" w:styleId="Style30">
    <w:name w:val="Style30"/>
    <w:basedOn w:val="Heading2"/>
    <w:autoRedefine/>
    <w:qFormat/>
    <w:rsid w:val="002E7F0B"/>
    <w:rPr>
      <w:rFonts w:eastAsia="Arial Unicode MS" w:cs="Arial Unicode MS"/>
      <w:color w:val="auto"/>
      <w:kern w:val="32"/>
      <w:szCs w:val="24"/>
    </w:rPr>
  </w:style>
  <w:style w:type="paragraph" w:customStyle="1" w:styleId="Style31">
    <w:name w:val="Style31"/>
    <w:basedOn w:val="Heading2"/>
    <w:qFormat/>
    <w:rsid w:val="0026025C"/>
    <w:rPr>
      <w:rFonts w:eastAsia="Arial Unicode MS" w:cs="Arial Unicode MS"/>
      <w:color w:val="76923C" w:themeColor="accent3" w:themeShade="BF"/>
      <w:kern w:val="32"/>
      <w:szCs w:val="24"/>
    </w:rPr>
  </w:style>
  <w:style w:type="paragraph" w:customStyle="1" w:styleId="CM15">
    <w:name w:val="CM15"/>
    <w:basedOn w:val="Default"/>
    <w:next w:val="Default"/>
    <w:uiPriority w:val="99"/>
    <w:rsid w:val="00EA6129"/>
    <w:rPr>
      <w:rFonts w:ascii="Meta Plus Normal" w:eastAsia="Calibri" w:hAnsi="Meta Plus Normal"/>
      <w:color w:val="auto"/>
      <w:lang w:val="en-NZ" w:eastAsia="en-NZ"/>
    </w:rPr>
  </w:style>
  <w:style w:type="paragraph" w:customStyle="1" w:styleId="CM2">
    <w:name w:val="CM2"/>
    <w:basedOn w:val="Default"/>
    <w:next w:val="Default"/>
    <w:uiPriority w:val="99"/>
    <w:rsid w:val="00EA6129"/>
    <w:pPr>
      <w:spacing w:line="288" w:lineRule="atLeast"/>
    </w:pPr>
    <w:rPr>
      <w:rFonts w:ascii="Meta Plus Normal" w:eastAsia="Calibri" w:hAnsi="Meta Plus Normal"/>
      <w:color w:val="auto"/>
      <w:lang w:val="en-NZ" w:eastAsia="en-NZ"/>
    </w:rPr>
  </w:style>
  <w:style w:type="paragraph" w:customStyle="1" w:styleId="CM7">
    <w:name w:val="CM7"/>
    <w:basedOn w:val="Default"/>
    <w:next w:val="Default"/>
    <w:uiPriority w:val="99"/>
    <w:rsid w:val="00EA6129"/>
    <w:pPr>
      <w:spacing w:line="278" w:lineRule="atLeast"/>
    </w:pPr>
    <w:rPr>
      <w:rFonts w:ascii="Meta Plus Normal" w:eastAsia="Calibri" w:hAnsi="Meta Plus Normal"/>
      <w:color w:val="auto"/>
      <w:lang w:val="en-NZ" w:eastAsia="en-NZ"/>
    </w:rPr>
  </w:style>
  <w:style w:type="paragraph" w:customStyle="1" w:styleId="CM8">
    <w:name w:val="CM8"/>
    <w:basedOn w:val="Default"/>
    <w:next w:val="Default"/>
    <w:uiPriority w:val="99"/>
    <w:rsid w:val="00EA6129"/>
    <w:rPr>
      <w:rFonts w:ascii="Meta Plus Normal" w:eastAsia="Calibri" w:hAnsi="Meta Plus Normal"/>
      <w:color w:val="auto"/>
      <w:lang w:val="en-NZ" w:eastAsia="en-NZ"/>
    </w:rPr>
  </w:style>
  <w:style w:type="paragraph" w:customStyle="1" w:styleId="Style32">
    <w:name w:val="Style32"/>
    <w:basedOn w:val="Heading2"/>
    <w:qFormat/>
    <w:rsid w:val="00D27772"/>
    <w:rPr>
      <w:rFonts w:eastAsia="Arial Unicode MS" w:cs="Arial Unicode MS"/>
      <w:color w:val="76923C" w:themeColor="accent3" w:themeShade="BF"/>
      <w:kern w:val="32"/>
      <w:szCs w:val="24"/>
    </w:rPr>
  </w:style>
  <w:style w:type="paragraph" w:customStyle="1" w:styleId="CM199">
    <w:name w:val="CM199"/>
    <w:basedOn w:val="Default"/>
    <w:next w:val="Default"/>
    <w:uiPriority w:val="99"/>
    <w:rsid w:val="00137C8D"/>
    <w:rPr>
      <w:rFonts w:ascii="Meta Normal LFNZ" w:eastAsia="Calibri" w:hAnsi="Meta Normal LFNZ"/>
      <w:color w:val="auto"/>
      <w:lang w:val="en-NZ" w:eastAsia="en-NZ"/>
    </w:rPr>
  </w:style>
  <w:style w:type="paragraph" w:customStyle="1" w:styleId="Pa13">
    <w:name w:val="Pa13"/>
    <w:basedOn w:val="Default"/>
    <w:next w:val="Default"/>
    <w:uiPriority w:val="99"/>
    <w:rsid w:val="004901CE"/>
    <w:pPr>
      <w:spacing w:line="181" w:lineRule="atLeast"/>
    </w:pPr>
    <w:rPr>
      <w:rFonts w:ascii="Ocean Sans Maori" w:eastAsia="Calibri" w:hAnsi="Ocean Sans Maori"/>
      <w:color w:val="auto"/>
      <w:lang w:val="en-NZ" w:eastAsia="en-NZ"/>
    </w:rPr>
  </w:style>
  <w:style w:type="paragraph" w:customStyle="1" w:styleId="Style33">
    <w:name w:val="Style33"/>
    <w:basedOn w:val="TOC1"/>
    <w:autoRedefine/>
    <w:qFormat/>
    <w:rsid w:val="002E3168"/>
    <w:rPr>
      <w:color w:val="4F6228" w:themeColor="accent3" w:themeShade="80"/>
    </w:rPr>
  </w:style>
  <w:style w:type="paragraph" w:customStyle="1" w:styleId="Style34">
    <w:name w:val="Style34"/>
    <w:basedOn w:val="TOC1"/>
    <w:qFormat/>
    <w:rsid w:val="002E3168"/>
    <w:rPr>
      <w:color w:val="4F6228" w:themeColor="accent3" w:themeShade="80"/>
    </w:rPr>
  </w:style>
  <w:style w:type="paragraph" w:customStyle="1" w:styleId="Style35">
    <w:name w:val="Style35"/>
    <w:basedOn w:val="Style33"/>
    <w:qFormat/>
    <w:rsid w:val="002E3168"/>
  </w:style>
  <w:style w:type="paragraph" w:customStyle="1" w:styleId="Style36">
    <w:name w:val="Style36"/>
    <w:basedOn w:val="TOC1"/>
    <w:qFormat/>
    <w:rsid w:val="002E3168"/>
    <w:rPr>
      <w:color w:val="4F6228" w:themeColor="accent3" w:themeShade="80"/>
    </w:rPr>
  </w:style>
  <w:style w:type="paragraph" w:customStyle="1" w:styleId="Style37">
    <w:name w:val="Style37"/>
    <w:basedOn w:val="TOC1"/>
    <w:qFormat/>
    <w:rsid w:val="002E3168"/>
    <w:rPr>
      <w:color w:val="4F6228" w:themeColor="accent3" w:themeShade="80"/>
    </w:rPr>
  </w:style>
  <w:style w:type="paragraph" w:customStyle="1" w:styleId="Style38">
    <w:name w:val="Style38"/>
    <w:basedOn w:val="TOC1"/>
    <w:qFormat/>
    <w:rsid w:val="002E3168"/>
    <w:rPr>
      <w:color w:val="4F6228" w:themeColor="accent3" w:themeShade="80"/>
    </w:rPr>
  </w:style>
  <w:style w:type="paragraph" w:customStyle="1" w:styleId="Style39">
    <w:name w:val="Style39"/>
    <w:basedOn w:val="TOC1"/>
    <w:qFormat/>
    <w:rsid w:val="002E3168"/>
    <w:rPr>
      <w:color w:val="4F6228" w:themeColor="accent3" w:themeShade="80"/>
    </w:rPr>
  </w:style>
  <w:style w:type="paragraph" w:customStyle="1" w:styleId="Style40">
    <w:name w:val="Style40"/>
    <w:basedOn w:val="TOC1"/>
    <w:qFormat/>
    <w:rsid w:val="002E3168"/>
    <w:rPr>
      <w:color w:val="4F6228" w:themeColor="accent3" w:themeShade="80"/>
    </w:rPr>
  </w:style>
  <w:style w:type="paragraph" w:customStyle="1" w:styleId="Style41">
    <w:name w:val="Style41"/>
    <w:basedOn w:val="TOC1"/>
    <w:qFormat/>
    <w:rsid w:val="002E3168"/>
    <w:rPr>
      <w:color w:val="4F6228" w:themeColor="accent3" w:themeShade="80"/>
    </w:rPr>
  </w:style>
  <w:style w:type="paragraph" w:customStyle="1" w:styleId="Style42">
    <w:name w:val="Style42"/>
    <w:basedOn w:val="TOC1"/>
    <w:autoRedefine/>
    <w:qFormat/>
    <w:rsid w:val="00756FF7"/>
    <w:rPr>
      <w:color w:val="auto"/>
    </w:rPr>
  </w:style>
  <w:style w:type="paragraph" w:customStyle="1" w:styleId="Style43">
    <w:name w:val="Style43"/>
    <w:basedOn w:val="Style42"/>
    <w:qFormat/>
    <w:rsid w:val="00756FF7"/>
  </w:style>
  <w:style w:type="paragraph" w:customStyle="1" w:styleId="Style44">
    <w:name w:val="Style44"/>
    <w:basedOn w:val="TOC1"/>
    <w:qFormat/>
    <w:rsid w:val="00756FF7"/>
    <w:rPr>
      <w:color w:val="auto"/>
    </w:rPr>
  </w:style>
  <w:style w:type="paragraph" w:customStyle="1" w:styleId="Style45">
    <w:name w:val="Style45"/>
    <w:basedOn w:val="TOC1"/>
    <w:qFormat/>
    <w:rsid w:val="00756FF7"/>
    <w:rPr>
      <w:color w:val="auto"/>
    </w:rPr>
  </w:style>
  <w:style w:type="paragraph" w:customStyle="1" w:styleId="Style46">
    <w:name w:val="Style46"/>
    <w:basedOn w:val="TOC1"/>
    <w:qFormat/>
    <w:rsid w:val="00756FF7"/>
    <w:rPr>
      <w:color w:val="auto"/>
    </w:rPr>
  </w:style>
  <w:style w:type="paragraph" w:customStyle="1" w:styleId="Style47">
    <w:name w:val="Style47"/>
    <w:basedOn w:val="TOC1"/>
    <w:qFormat/>
    <w:rsid w:val="00756FF7"/>
    <w:rPr>
      <w:color w:val="auto"/>
    </w:rPr>
  </w:style>
  <w:style w:type="paragraph" w:customStyle="1" w:styleId="Style48">
    <w:name w:val="Style48"/>
    <w:basedOn w:val="TOC1"/>
    <w:qFormat/>
    <w:rsid w:val="00756FF7"/>
    <w:rPr>
      <w:color w:val="auto"/>
    </w:rPr>
  </w:style>
  <w:style w:type="paragraph" w:customStyle="1" w:styleId="Style49">
    <w:name w:val="Style49"/>
    <w:basedOn w:val="TOC1"/>
    <w:autoRedefine/>
    <w:qFormat/>
    <w:rsid w:val="009C16DB"/>
    <w:rPr>
      <w:color w:val="auto"/>
    </w:rPr>
  </w:style>
  <w:style w:type="paragraph" w:customStyle="1" w:styleId="Style50">
    <w:name w:val="Style50"/>
    <w:basedOn w:val="TOC1"/>
    <w:qFormat/>
    <w:rsid w:val="009C16DB"/>
    <w:rPr>
      <w:color w:val="auto"/>
    </w:rPr>
  </w:style>
  <w:style w:type="paragraph" w:customStyle="1" w:styleId="Style51">
    <w:name w:val="Style51"/>
    <w:basedOn w:val="TOC1"/>
    <w:qFormat/>
    <w:rsid w:val="009C16DB"/>
    <w:rPr>
      <w:color w:val="auto"/>
    </w:rPr>
  </w:style>
  <w:style w:type="paragraph" w:customStyle="1" w:styleId="Style52">
    <w:name w:val="Style52"/>
    <w:basedOn w:val="TOC1"/>
    <w:qFormat/>
    <w:rsid w:val="009C16DB"/>
    <w:rPr>
      <w:color w:val="auto"/>
    </w:rPr>
  </w:style>
  <w:style w:type="paragraph" w:customStyle="1" w:styleId="Style53">
    <w:name w:val="Style53"/>
    <w:basedOn w:val="TOC1"/>
    <w:qFormat/>
    <w:rsid w:val="009C16DB"/>
    <w:rPr>
      <w:color w:val="auto"/>
    </w:rPr>
  </w:style>
  <w:style w:type="paragraph" w:customStyle="1" w:styleId="Style54">
    <w:name w:val="Style54"/>
    <w:basedOn w:val="TOC1"/>
    <w:qFormat/>
    <w:rsid w:val="009C16DB"/>
    <w:rPr>
      <w:color w:val="auto"/>
    </w:rPr>
  </w:style>
  <w:style w:type="paragraph" w:customStyle="1" w:styleId="Style55">
    <w:name w:val="Style55"/>
    <w:basedOn w:val="TOC1"/>
    <w:qFormat/>
    <w:rsid w:val="009C16DB"/>
    <w:rPr>
      <w:color w:val="auto"/>
    </w:rPr>
  </w:style>
  <w:style w:type="paragraph" w:customStyle="1" w:styleId="Style56">
    <w:name w:val="Style56"/>
    <w:basedOn w:val="TOC1"/>
    <w:qFormat/>
    <w:rsid w:val="009C16DB"/>
    <w:rPr>
      <w:color w:val="auto"/>
    </w:rPr>
  </w:style>
  <w:style w:type="paragraph" w:customStyle="1" w:styleId="Style57">
    <w:name w:val="Style57"/>
    <w:basedOn w:val="TOC1"/>
    <w:autoRedefine/>
    <w:qFormat/>
    <w:rsid w:val="009C16DB"/>
    <w:rPr>
      <w:color w:val="auto"/>
    </w:rPr>
  </w:style>
  <w:style w:type="paragraph" w:customStyle="1" w:styleId="CM50">
    <w:name w:val="CM50"/>
    <w:basedOn w:val="Default"/>
    <w:next w:val="Default"/>
    <w:uiPriority w:val="99"/>
    <w:rsid w:val="005475FD"/>
    <w:rPr>
      <w:rFonts w:ascii="LICBD I+ Maori Palatino" w:eastAsia="Calibri" w:hAnsi="LICBD I+ Maori Palatino"/>
      <w:color w:val="auto"/>
      <w:lang w:val="en-NZ" w:eastAsia="en-NZ"/>
    </w:rPr>
  </w:style>
  <w:style w:type="table" w:styleId="LightShading-Accent4">
    <w:name w:val="Light Shading Accent 4"/>
    <w:basedOn w:val="TableNormal"/>
    <w:uiPriority w:val="60"/>
    <w:rsid w:val="005F0AA6"/>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TOC5">
    <w:name w:val="toc 5"/>
    <w:basedOn w:val="Normal"/>
    <w:next w:val="Normal"/>
    <w:autoRedefine/>
    <w:uiPriority w:val="39"/>
    <w:unhideWhenUsed/>
    <w:locked/>
    <w:rsid w:val="00A67A24"/>
    <w:pPr>
      <w:spacing w:after="100" w:line="276" w:lineRule="auto"/>
      <w:ind w:left="880"/>
    </w:pPr>
    <w:rPr>
      <w:rFonts w:asciiTheme="minorHAnsi" w:eastAsiaTheme="minorEastAsia" w:hAnsiTheme="minorHAnsi" w:cstheme="minorBidi"/>
      <w:sz w:val="22"/>
      <w:szCs w:val="22"/>
      <w:lang w:eastAsia="en-NZ"/>
    </w:rPr>
  </w:style>
  <w:style w:type="paragraph" w:styleId="TOC6">
    <w:name w:val="toc 6"/>
    <w:basedOn w:val="Normal"/>
    <w:next w:val="Normal"/>
    <w:autoRedefine/>
    <w:uiPriority w:val="39"/>
    <w:unhideWhenUsed/>
    <w:locked/>
    <w:rsid w:val="00A67A24"/>
    <w:pPr>
      <w:spacing w:after="100" w:line="276" w:lineRule="auto"/>
      <w:ind w:left="1100"/>
    </w:pPr>
    <w:rPr>
      <w:rFonts w:asciiTheme="minorHAnsi" w:eastAsiaTheme="minorEastAsia" w:hAnsiTheme="minorHAnsi" w:cstheme="minorBidi"/>
      <w:sz w:val="22"/>
      <w:szCs w:val="22"/>
      <w:lang w:eastAsia="en-NZ"/>
    </w:rPr>
  </w:style>
  <w:style w:type="paragraph" w:styleId="TOC7">
    <w:name w:val="toc 7"/>
    <w:basedOn w:val="Normal"/>
    <w:next w:val="Normal"/>
    <w:autoRedefine/>
    <w:uiPriority w:val="39"/>
    <w:unhideWhenUsed/>
    <w:locked/>
    <w:rsid w:val="00A67A24"/>
    <w:pPr>
      <w:spacing w:after="100" w:line="276" w:lineRule="auto"/>
      <w:ind w:left="1320"/>
    </w:pPr>
    <w:rPr>
      <w:rFonts w:asciiTheme="minorHAnsi" w:eastAsiaTheme="minorEastAsia" w:hAnsiTheme="minorHAnsi" w:cstheme="minorBidi"/>
      <w:sz w:val="22"/>
      <w:szCs w:val="22"/>
      <w:lang w:eastAsia="en-NZ"/>
    </w:rPr>
  </w:style>
  <w:style w:type="paragraph" w:styleId="TOC8">
    <w:name w:val="toc 8"/>
    <w:basedOn w:val="Normal"/>
    <w:next w:val="Normal"/>
    <w:autoRedefine/>
    <w:uiPriority w:val="39"/>
    <w:unhideWhenUsed/>
    <w:locked/>
    <w:rsid w:val="00A67A24"/>
    <w:pPr>
      <w:spacing w:after="100" w:line="276" w:lineRule="auto"/>
      <w:ind w:left="1540"/>
    </w:pPr>
    <w:rPr>
      <w:rFonts w:asciiTheme="minorHAnsi" w:eastAsiaTheme="minorEastAsia" w:hAnsiTheme="minorHAnsi" w:cstheme="minorBidi"/>
      <w:sz w:val="22"/>
      <w:szCs w:val="22"/>
      <w:lang w:eastAsia="en-NZ"/>
    </w:rPr>
  </w:style>
  <w:style w:type="paragraph" w:styleId="TOC9">
    <w:name w:val="toc 9"/>
    <w:basedOn w:val="Normal"/>
    <w:next w:val="Normal"/>
    <w:autoRedefine/>
    <w:uiPriority w:val="39"/>
    <w:unhideWhenUsed/>
    <w:locked/>
    <w:rsid w:val="00A67A24"/>
    <w:pPr>
      <w:spacing w:after="100" w:line="276" w:lineRule="auto"/>
      <w:ind w:left="1760"/>
    </w:pPr>
    <w:rPr>
      <w:rFonts w:asciiTheme="minorHAnsi" w:eastAsiaTheme="minorEastAsia" w:hAnsiTheme="minorHAnsi" w:cstheme="minorBidi"/>
      <w:sz w:val="22"/>
      <w:szCs w:val="22"/>
      <w:lang w:eastAsia="en-NZ"/>
    </w:rPr>
  </w:style>
  <w:style w:type="table" w:customStyle="1" w:styleId="LightShading-Accent11">
    <w:name w:val="Light Shading - Accent 11"/>
    <w:basedOn w:val="TableNormal"/>
    <w:uiPriority w:val="60"/>
    <w:rsid w:val="004267A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subheading">
    <w:name w:val="subheading"/>
    <w:basedOn w:val="Heading2"/>
    <w:qFormat/>
    <w:rsid w:val="00220F11"/>
    <w:pPr>
      <w:jc w:val="both"/>
    </w:pPr>
    <w:rPr>
      <w:rFonts w:asciiTheme="minorHAnsi" w:eastAsia="Arial Unicode MS" w:hAnsiTheme="minorHAnsi" w:cstheme="minorHAnsi"/>
      <w:color w:val="auto"/>
      <w:kern w:val="32"/>
      <w:sz w:val="28"/>
      <w:szCs w:val="28"/>
    </w:rPr>
  </w:style>
  <w:style w:type="paragraph" w:customStyle="1" w:styleId="generalparagraph">
    <w:name w:val="general paragraph"/>
    <w:basedOn w:val="Normal"/>
    <w:autoRedefine/>
    <w:qFormat/>
    <w:rsid w:val="00C37D18"/>
    <w:pPr>
      <w:spacing w:before="120" w:after="120"/>
      <w:jc w:val="both"/>
    </w:pPr>
    <w:rPr>
      <w:rFonts w:asciiTheme="minorHAnsi" w:eastAsia="Arial Unicode MS" w:hAnsiTheme="minorHAnsi" w:cstheme="minorHAnsi"/>
      <w:sz w:val="22"/>
      <w:szCs w:val="22"/>
    </w:rPr>
  </w:style>
  <w:style w:type="paragraph" w:customStyle="1" w:styleId="generalsubheading">
    <w:name w:val="general subheading"/>
    <w:basedOn w:val="subheading"/>
    <w:autoRedefine/>
    <w:qFormat/>
    <w:rsid w:val="00DA6437"/>
    <w:pPr>
      <w:spacing w:before="0" w:beforeAutospacing="0" w:after="0" w:afterAutospacing="0"/>
    </w:pPr>
  </w:style>
  <w:style w:type="paragraph" w:customStyle="1" w:styleId="generalaimtext">
    <w:name w:val="general aim text"/>
    <w:basedOn w:val="Normal"/>
    <w:autoRedefine/>
    <w:qFormat/>
    <w:rsid w:val="00BD2B26"/>
    <w:pPr>
      <w:tabs>
        <w:tab w:val="num" w:pos="720"/>
      </w:tabs>
      <w:spacing w:before="120" w:after="120"/>
      <w:ind w:left="227" w:right="227"/>
      <w:jc w:val="both"/>
    </w:pPr>
    <w:rPr>
      <w:rFonts w:asciiTheme="minorHAnsi" w:eastAsia="Arial Unicode MS" w:hAnsiTheme="minorHAnsi" w:cstheme="minorHAnsi"/>
      <w:sz w:val="22"/>
      <w:szCs w:val="22"/>
    </w:rPr>
  </w:style>
  <w:style w:type="paragraph" w:customStyle="1" w:styleId="generalaimheading">
    <w:name w:val="general aim heading"/>
    <w:basedOn w:val="Normal"/>
    <w:autoRedefine/>
    <w:qFormat/>
    <w:rsid w:val="00B34C30"/>
    <w:pPr>
      <w:spacing w:before="360" w:after="120"/>
      <w:jc w:val="center"/>
    </w:pPr>
    <w:rPr>
      <w:rFonts w:asciiTheme="minorHAnsi" w:eastAsia="Arial Unicode MS" w:hAnsiTheme="minorHAnsi" w:cstheme="minorHAnsi"/>
      <w:b/>
      <w:noProof/>
      <w:color w:val="FFFFFF" w:themeColor="background1"/>
      <w:sz w:val="22"/>
      <w:szCs w:val="22"/>
      <w:lang w:eastAsia="en-NZ"/>
    </w:rPr>
  </w:style>
  <w:style w:type="paragraph" w:styleId="HTMLPreformatted">
    <w:name w:val="HTML Preformatted"/>
    <w:basedOn w:val="Normal"/>
    <w:link w:val="HTMLPreformattedChar"/>
    <w:uiPriority w:val="99"/>
    <w:unhideWhenUsed/>
    <w:rsid w:val="00767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NZ"/>
    </w:rPr>
  </w:style>
  <w:style w:type="character" w:customStyle="1" w:styleId="HTMLPreformattedChar">
    <w:name w:val="HTML Preformatted Char"/>
    <w:basedOn w:val="DefaultParagraphFont"/>
    <w:link w:val="HTMLPreformatted"/>
    <w:uiPriority w:val="99"/>
    <w:rsid w:val="00767AD7"/>
    <w:rPr>
      <w:rFonts w:ascii="Courier New" w:eastAsia="Times New Roman" w:hAnsi="Courier New" w:cs="Courier New"/>
    </w:rPr>
  </w:style>
  <w:style w:type="paragraph" w:customStyle="1" w:styleId="EndNoteBibliography">
    <w:name w:val="EndNote Bibliography"/>
    <w:basedOn w:val="Normal"/>
    <w:link w:val="EndNoteBibliographyChar"/>
    <w:rsid w:val="00C37D18"/>
    <w:pPr>
      <w:ind w:right="34"/>
    </w:pPr>
    <w:rPr>
      <w:rFonts w:eastAsiaTheme="minorHAnsi" w:cs="Arial"/>
      <w:noProof/>
      <w:sz w:val="22"/>
      <w:szCs w:val="22"/>
      <w:lang w:val="en-US" w:eastAsia="en-US"/>
    </w:rPr>
  </w:style>
  <w:style w:type="character" w:customStyle="1" w:styleId="EndNoteBibliographyChar">
    <w:name w:val="EndNote Bibliography Char"/>
    <w:basedOn w:val="DefaultParagraphFont"/>
    <w:link w:val="EndNoteBibliography"/>
    <w:rsid w:val="00C37D18"/>
    <w:rPr>
      <w:rFonts w:eastAsiaTheme="minorHAnsi" w:cs="Arial"/>
      <w:noProof/>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124116">
      <w:bodyDiv w:val="1"/>
      <w:marLeft w:val="0"/>
      <w:marRight w:val="0"/>
      <w:marTop w:val="0"/>
      <w:marBottom w:val="0"/>
      <w:divBdr>
        <w:top w:val="none" w:sz="0" w:space="0" w:color="auto"/>
        <w:left w:val="none" w:sz="0" w:space="0" w:color="auto"/>
        <w:bottom w:val="none" w:sz="0" w:space="0" w:color="auto"/>
        <w:right w:val="none" w:sz="0" w:space="0" w:color="auto"/>
      </w:divBdr>
    </w:div>
    <w:div w:id="284049398">
      <w:bodyDiv w:val="1"/>
      <w:marLeft w:val="0"/>
      <w:marRight w:val="0"/>
      <w:marTop w:val="0"/>
      <w:marBottom w:val="0"/>
      <w:divBdr>
        <w:top w:val="none" w:sz="0" w:space="0" w:color="auto"/>
        <w:left w:val="none" w:sz="0" w:space="0" w:color="auto"/>
        <w:bottom w:val="none" w:sz="0" w:space="0" w:color="auto"/>
        <w:right w:val="none" w:sz="0" w:space="0" w:color="auto"/>
      </w:divBdr>
      <w:divsChild>
        <w:div w:id="1873880884">
          <w:marLeft w:val="547"/>
          <w:marRight w:val="0"/>
          <w:marTop w:val="0"/>
          <w:marBottom w:val="0"/>
          <w:divBdr>
            <w:top w:val="none" w:sz="0" w:space="0" w:color="auto"/>
            <w:left w:val="none" w:sz="0" w:space="0" w:color="auto"/>
            <w:bottom w:val="none" w:sz="0" w:space="0" w:color="auto"/>
            <w:right w:val="none" w:sz="0" w:space="0" w:color="auto"/>
          </w:divBdr>
        </w:div>
      </w:divsChild>
    </w:div>
    <w:div w:id="405416978">
      <w:bodyDiv w:val="1"/>
      <w:marLeft w:val="0"/>
      <w:marRight w:val="0"/>
      <w:marTop w:val="0"/>
      <w:marBottom w:val="0"/>
      <w:divBdr>
        <w:top w:val="none" w:sz="0" w:space="0" w:color="auto"/>
        <w:left w:val="none" w:sz="0" w:space="0" w:color="auto"/>
        <w:bottom w:val="none" w:sz="0" w:space="0" w:color="auto"/>
        <w:right w:val="none" w:sz="0" w:space="0" w:color="auto"/>
      </w:divBdr>
      <w:divsChild>
        <w:div w:id="1451894323">
          <w:marLeft w:val="0"/>
          <w:marRight w:val="0"/>
          <w:marTop w:val="0"/>
          <w:marBottom w:val="0"/>
          <w:divBdr>
            <w:top w:val="none" w:sz="0" w:space="0" w:color="auto"/>
            <w:left w:val="none" w:sz="0" w:space="0" w:color="auto"/>
            <w:bottom w:val="none" w:sz="0" w:space="0" w:color="auto"/>
            <w:right w:val="none" w:sz="0" w:space="0" w:color="auto"/>
          </w:divBdr>
        </w:div>
      </w:divsChild>
    </w:div>
    <w:div w:id="414395878">
      <w:bodyDiv w:val="1"/>
      <w:marLeft w:val="0"/>
      <w:marRight w:val="0"/>
      <w:marTop w:val="0"/>
      <w:marBottom w:val="0"/>
      <w:divBdr>
        <w:top w:val="none" w:sz="0" w:space="0" w:color="auto"/>
        <w:left w:val="none" w:sz="0" w:space="0" w:color="auto"/>
        <w:bottom w:val="none" w:sz="0" w:space="0" w:color="auto"/>
        <w:right w:val="none" w:sz="0" w:space="0" w:color="auto"/>
      </w:divBdr>
      <w:divsChild>
        <w:div w:id="2121293481">
          <w:marLeft w:val="547"/>
          <w:marRight w:val="0"/>
          <w:marTop w:val="120"/>
          <w:marBottom w:val="120"/>
          <w:divBdr>
            <w:top w:val="none" w:sz="0" w:space="0" w:color="auto"/>
            <w:left w:val="none" w:sz="0" w:space="0" w:color="auto"/>
            <w:bottom w:val="none" w:sz="0" w:space="0" w:color="auto"/>
            <w:right w:val="none" w:sz="0" w:space="0" w:color="auto"/>
          </w:divBdr>
        </w:div>
        <w:div w:id="947733442">
          <w:marLeft w:val="547"/>
          <w:marRight w:val="0"/>
          <w:marTop w:val="120"/>
          <w:marBottom w:val="120"/>
          <w:divBdr>
            <w:top w:val="none" w:sz="0" w:space="0" w:color="auto"/>
            <w:left w:val="none" w:sz="0" w:space="0" w:color="auto"/>
            <w:bottom w:val="none" w:sz="0" w:space="0" w:color="auto"/>
            <w:right w:val="none" w:sz="0" w:space="0" w:color="auto"/>
          </w:divBdr>
        </w:div>
      </w:divsChild>
    </w:div>
    <w:div w:id="514730492">
      <w:bodyDiv w:val="1"/>
      <w:marLeft w:val="0"/>
      <w:marRight w:val="0"/>
      <w:marTop w:val="0"/>
      <w:marBottom w:val="0"/>
      <w:divBdr>
        <w:top w:val="none" w:sz="0" w:space="0" w:color="auto"/>
        <w:left w:val="none" w:sz="0" w:space="0" w:color="auto"/>
        <w:bottom w:val="none" w:sz="0" w:space="0" w:color="auto"/>
        <w:right w:val="none" w:sz="0" w:space="0" w:color="auto"/>
      </w:divBdr>
    </w:div>
    <w:div w:id="582297413">
      <w:bodyDiv w:val="1"/>
      <w:marLeft w:val="0"/>
      <w:marRight w:val="0"/>
      <w:marTop w:val="0"/>
      <w:marBottom w:val="0"/>
      <w:divBdr>
        <w:top w:val="none" w:sz="0" w:space="0" w:color="auto"/>
        <w:left w:val="none" w:sz="0" w:space="0" w:color="auto"/>
        <w:bottom w:val="none" w:sz="0" w:space="0" w:color="auto"/>
        <w:right w:val="none" w:sz="0" w:space="0" w:color="auto"/>
      </w:divBdr>
    </w:div>
    <w:div w:id="648289726">
      <w:bodyDiv w:val="1"/>
      <w:marLeft w:val="0"/>
      <w:marRight w:val="0"/>
      <w:marTop w:val="0"/>
      <w:marBottom w:val="0"/>
      <w:divBdr>
        <w:top w:val="none" w:sz="0" w:space="0" w:color="auto"/>
        <w:left w:val="none" w:sz="0" w:space="0" w:color="auto"/>
        <w:bottom w:val="none" w:sz="0" w:space="0" w:color="auto"/>
        <w:right w:val="none" w:sz="0" w:space="0" w:color="auto"/>
      </w:divBdr>
      <w:divsChild>
        <w:div w:id="828600953">
          <w:marLeft w:val="547"/>
          <w:marRight w:val="0"/>
          <w:marTop w:val="0"/>
          <w:marBottom w:val="0"/>
          <w:divBdr>
            <w:top w:val="none" w:sz="0" w:space="0" w:color="auto"/>
            <w:left w:val="none" w:sz="0" w:space="0" w:color="auto"/>
            <w:bottom w:val="none" w:sz="0" w:space="0" w:color="auto"/>
            <w:right w:val="none" w:sz="0" w:space="0" w:color="auto"/>
          </w:divBdr>
        </w:div>
      </w:divsChild>
    </w:div>
    <w:div w:id="664168256">
      <w:bodyDiv w:val="1"/>
      <w:marLeft w:val="0"/>
      <w:marRight w:val="0"/>
      <w:marTop w:val="0"/>
      <w:marBottom w:val="0"/>
      <w:divBdr>
        <w:top w:val="none" w:sz="0" w:space="0" w:color="auto"/>
        <w:left w:val="none" w:sz="0" w:space="0" w:color="auto"/>
        <w:bottom w:val="none" w:sz="0" w:space="0" w:color="auto"/>
        <w:right w:val="none" w:sz="0" w:space="0" w:color="auto"/>
      </w:divBdr>
      <w:divsChild>
        <w:div w:id="128868837">
          <w:marLeft w:val="547"/>
          <w:marRight w:val="0"/>
          <w:marTop w:val="0"/>
          <w:marBottom w:val="0"/>
          <w:divBdr>
            <w:top w:val="none" w:sz="0" w:space="0" w:color="auto"/>
            <w:left w:val="none" w:sz="0" w:space="0" w:color="auto"/>
            <w:bottom w:val="none" w:sz="0" w:space="0" w:color="auto"/>
            <w:right w:val="none" w:sz="0" w:space="0" w:color="auto"/>
          </w:divBdr>
        </w:div>
      </w:divsChild>
    </w:div>
    <w:div w:id="847839307">
      <w:bodyDiv w:val="1"/>
      <w:marLeft w:val="0"/>
      <w:marRight w:val="0"/>
      <w:marTop w:val="0"/>
      <w:marBottom w:val="0"/>
      <w:divBdr>
        <w:top w:val="none" w:sz="0" w:space="0" w:color="auto"/>
        <w:left w:val="none" w:sz="0" w:space="0" w:color="auto"/>
        <w:bottom w:val="none" w:sz="0" w:space="0" w:color="auto"/>
        <w:right w:val="none" w:sz="0" w:space="0" w:color="auto"/>
      </w:divBdr>
    </w:div>
    <w:div w:id="957569732">
      <w:bodyDiv w:val="1"/>
      <w:marLeft w:val="0"/>
      <w:marRight w:val="0"/>
      <w:marTop w:val="0"/>
      <w:marBottom w:val="0"/>
      <w:divBdr>
        <w:top w:val="none" w:sz="0" w:space="0" w:color="auto"/>
        <w:left w:val="none" w:sz="0" w:space="0" w:color="auto"/>
        <w:bottom w:val="none" w:sz="0" w:space="0" w:color="auto"/>
        <w:right w:val="none" w:sz="0" w:space="0" w:color="auto"/>
      </w:divBdr>
      <w:divsChild>
        <w:div w:id="149830198">
          <w:marLeft w:val="547"/>
          <w:marRight w:val="0"/>
          <w:marTop w:val="120"/>
          <w:marBottom w:val="120"/>
          <w:divBdr>
            <w:top w:val="none" w:sz="0" w:space="0" w:color="auto"/>
            <w:left w:val="none" w:sz="0" w:space="0" w:color="auto"/>
            <w:bottom w:val="none" w:sz="0" w:space="0" w:color="auto"/>
            <w:right w:val="none" w:sz="0" w:space="0" w:color="auto"/>
          </w:divBdr>
        </w:div>
      </w:divsChild>
    </w:div>
    <w:div w:id="1063261591">
      <w:bodyDiv w:val="1"/>
      <w:marLeft w:val="0"/>
      <w:marRight w:val="0"/>
      <w:marTop w:val="0"/>
      <w:marBottom w:val="0"/>
      <w:divBdr>
        <w:top w:val="none" w:sz="0" w:space="0" w:color="auto"/>
        <w:left w:val="none" w:sz="0" w:space="0" w:color="auto"/>
        <w:bottom w:val="none" w:sz="0" w:space="0" w:color="auto"/>
        <w:right w:val="none" w:sz="0" w:space="0" w:color="auto"/>
      </w:divBdr>
      <w:divsChild>
        <w:div w:id="1276713667">
          <w:marLeft w:val="547"/>
          <w:marRight w:val="0"/>
          <w:marTop w:val="0"/>
          <w:marBottom w:val="0"/>
          <w:divBdr>
            <w:top w:val="none" w:sz="0" w:space="0" w:color="auto"/>
            <w:left w:val="none" w:sz="0" w:space="0" w:color="auto"/>
            <w:bottom w:val="none" w:sz="0" w:space="0" w:color="auto"/>
            <w:right w:val="none" w:sz="0" w:space="0" w:color="auto"/>
          </w:divBdr>
        </w:div>
      </w:divsChild>
    </w:div>
    <w:div w:id="1080296890">
      <w:bodyDiv w:val="1"/>
      <w:marLeft w:val="0"/>
      <w:marRight w:val="0"/>
      <w:marTop w:val="0"/>
      <w:marBottom w:val="0"/>
      <w:divBdr>
        <w:top w:val="none" w:sz="0" w:space="0" w:color="auto"/>
        <w:left w:val="none" w:sz="0" w:space="0" w:color="auto"/>
        <w:bottom w:val="none" w:sz="0" w:space="0" w:color="auto"/>
        <w:right w:val="none" w:sz="0" w:space="0" w:color="auto"/>
      </w:divBdr>
    </w:div>
    <w:div w:id="1391267886">
      <w:bodyDiv w:val="1"/>
      <w:marLeft w:val="0"/>
      <w:marRight w:val="0"/>
      <w:marTop w:val="0"/>
      <w:marBottom w:val="0"/>
      <w:divBdr>
        <w:top w:val="none" w:sz="0" w:space="0" w:color="auto"/>
        <w:left w:val="none" w:sz="0" w:space="0" w:color="auto"/>
        <w:bottom w:val="none" w:sz="0" w:space="0" w:color="auto"/>
        <w:right w:val="none" w:sz="0" w:space="0" w:color="auto"/>
      </w:divBdr>
      <w:divsChild>
        <w:div w:id="1963995235">
          <w:marLeft w:val="547"/>
          <w:marRight w:val="0"/>
          <w:marTop w:val="0"/>
          <w:marBottom w:val="0"/>
          <w:divBdr>
            <w:top w:val="none" w:sz="0" w:space="0" w:color="auto"/>
            <w:left w:val="none" w:sz="0" w:space="0" w:color="auto"/>
            <w:bottom w:val="none" w:sz="0" w:space="0" w:color="auto"/>
            <w:right w:val="none" w:sz="0" w:space="0" w:color="auto"/>
          </w:divBdr>
        </w:div>
      </w:divsChild>
    </w:div>
    <w:div w:id="1664771879">
      <w:bodyDiv w:val="1"/>
      <w:marLeft w:val="0"/>
      <w:marRight w:val="0"/>
      <w:marTop w:val="0"/>
      <w:marBottom w:val="0"/>
      <w:divBdr>
        <w:top w:val="none" w:sz="0" w:space="0" w:color="auto"/>
        <w:left w:val="none" w:sz="0" w:space="0" w:color="auto"/>
        <w:bottom w:val="none" w:sz="0" w:space="0" w:color="auto"/>
        <w:right w:val="none" w:sz="0" w:space="0" w:color="auto"/>
      </w:divBdr>
    </w:div>
    <w:div w:id="1778594539">
      <w:bodyDiv w:val="1"/>
      <w:marLeft w:val="0"/>
      <w:marRight w:val="0"/>
      <w:marTop w:val="0"/>
      <w:marBottom w:val="0"/>
      <w:divBdr>
        <w:top w:val="none" w:sz="0" w:space="0" w:color="auto"/>
        <w:left w:val="none" w:sz="0" w:space="0" w:color="auto"/>
        <w:bottom w:val="none" w:sz="0" w:space="0" w:color="auto"/>
        <w:right w:val="none" w:sz="0" w:space="0" w:color="auto"/>
      </w:divBdr>
      <w:divsChild>
        <w:div w:id="500975006">
          <w:marLeft w:val="547"/>
          <w:marRight w:val="0"/>
          <w:marTop w:val="0"/>
          <w:marBottom w:val="0"/>
          <w:divBdr>
            <w:top w:val="none" w:sz="0" w:space="0" w:color="auto"/>
            <w:left w:val="none" w:sz="0" w:space="0" w:color="auto"/>
            <w:bottom w:val="none" w:sz="0" w:space="0" w:color="auto"/>
            <w:right w:val="none" w:sz="0" w:space="0" w:color="auto"/>
          </w:divBdr>
        </w:div>
      </w:divsChild>
    </w:div>
    <w:div w:id="1817456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diagramQuickStyle" Target="diagrams/quickStyle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cdc.gov/diabetes/ndep/ppod.htm"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diagramLayout" Target="diagrams/layout1.xml"/><Relationship Id="rId25" Type="http://schemas.openxmlformats.org/officeDocument/2006/relationships/hyperlink" Target="http://www.who.int/oral_health/action/risks/en/index2/.html" TargetMode="Externa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www.health.govt.nz/your-health/healthy-living/addictions/smoking/health-effects-smoking"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www.cdc.gov/diabetes/ndep/ppod.htm" TargetMode="External"/><Relationship Id="rId10" Type="http://schemas.openxmlformats.org/officeDocument/2006/relationships/footer" Target="footer3.xml"/><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hyperlink" Target="http://www.ash.org.nz/research-and-information/factsheets/" TargetMode="Externa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198B445-9EBD-4124-8CF8-FE1098D04CA8}" type="doc">
      <dgm:prSet loTypeId="urn:microsoft.com/office/officeart/2005/8/layout/radial6" loCatId="relationship" qsTypeId="urn:microsoft.com/office/officeart/2005/8/quickstyle/simple4" qsCatId="simple" csTypeId="urn:microsoft.com/office/officeart/2005/8/colors/accent3_2" csCatId="accent3" phldr="1"/>
      <dgm:spPr/>
      <dgm:t>
        <a:bodyPr/>
        <a:lstStyle/>
        <a:p>
          <a:endParaRPr lang="en-NZ"/>
        </a:p>
      </dgm:t>
    </dgm:pt>
    <dgm:pt modelId="{5CEF615D-CD1D-40FC-B5E1-1B3B8E786557}">
      <dgm:prSet phldrT="[Text]"/>
      <dgm:spPr>
        <a:gradFill rotWithShape="0">
          <a:gsLst>
            <a:gs pos="0">
              <a:srgbClr val="42D0B8"/>
            </a:gs>
            <a:gs pos="80000">
              <a:srgbClr val="42D0B8"/>
            </a:gs>
            <a:gs pos="100000">
              <a:srgbClr val="42D0B8"/>
            </a:gs>
          </a:gsLst>
        </a:gradFill>
      </dgm:spPr>
      <dgm:t>
        <a:bodyPr/>
        <a:lstStyle/>
        <a:p>
          <a:pPr algn="ctr"/>
          <a:r>
            <a:rPr lang="en-NZ">
              <a:latin typeface="+mn-lt"/>
            </a:rPr>
            <a:t>Maori oral </a:t>
          </a:r>
          <a:r>
            <a:rPr lang="en-NZ">
              <a:latin typeface="+mn-lt"/>
              <a:cs typeface="Times New Roman" pitchFamily="18" charset="0"/>
            </a:rPr>
            <a:t>health</a:t>
          </a:r>
          <a:r>
            <a:rPr lang="en-NZ">
              <a:latin typeface="+mn-lt"/>
            </a:rPr>
            <a:t> </a:t>
          </a:r>
          <a:r>
            <a:rPr lang="en-NZ">
              <a:latin typeface="+mn-lt"/>
              <a:cs typeface="Times New Roman" pitchFamily="18" charset="0"/>
            </a:rPr>
            <a:t>providers</a:t>
          </a:r>
        </a:p>
      </dgm:t>
    </dgm:pt>
    <dgm:pt modelId="{723FA4E5-4C96-445D-8C03-5D0239BFE99E}" type="parTrans" cxnId="{F4CDD339-D181-403F-B884-893749CE5CC0}">
      <dgm:prSet/>
      <dgm:spPr/>
      <dgm:t>
        <a:bodyPr/>
        <a:lstStyle/>
        <a:p>
          <a:pPr algn="ctr"/>
          <a:endParaRPr lang="en-NZ"/>
        </a:p>
      </dgm:t>
    </dgm:pt>
    <dgm:pt modelId="{A307A3CB-E93C-41AD-BD57-F65E6CEC66EA}" type="sibTrans" cxnId="{F4CDD339-D181-403F-B884-893749CE5CC0}">
      <dgm:prSet/>
      <dgm:spPr/>
      <dgm:t>
        <a:bodyPr/>
        <a:lstStyle/>
        <a:p>
          <a:pPr algn="ctr"/>
          <a:endParaRPr lang="en-NZ"/>
        </a:p>
      </dgm:t>
    </dgm:pt>
    <dgm:pt modelId="{C4B5B387-015C-4C26-9358-8AA25B8FB667}">
      <dgm:prSet phldrT="[Text]"/>
      <dgm:spPr>
        <a:gradFill rotWithShape="0">
          <a:gsLst>
            <a:gs pos="0">
              <a:srgbClr val="42D0B8"/>
            </a:gs>
            <a:gs pos="100000">
              <a:srgbClr val="42D0B8"/>
            </a:gs>
          </a:gsLst>
        </a:gradFill>
      </dgm:spPr>
      <dgm:t>
        <a:bodyPr/>
        <a:lstStyle/>
        <a:p>
          <a:pPr algn="ctr"/>
          <a:r>
            <a:rPr lang="en-NZ">
              <a:latin typeface="+mn-lt"/>
            </a:rPr>
            <a:t>Knowledge </a:t>
          </a:r>
          <a:r>
            <a:rPr lang="en-NZ">
              <a:latin typeface="+mn-lt"/>
              <a:cs typeface="Times New Roman" pitchFamily="18" charset="0"/>
            </a:rPr>
            <a:t>integration</a:t>
          </a:r>
        </a:p>
      </dgm:t>
    </dgm:pt>
    <dgm:pt modelId="{F56DA9F6-45CE-42A7-910E-DA09FB6229E1}" type="parTrans" cxnId="{FABB1CE2-93D9-4201-8865-53EB6004F69A}">
      <dgm:prSet/>
      <dgm:spPr/>
      <dgm:t>
        <a:bodyPr/>
        <a:lstStyle/>
        <a:p>
          <a:pPr algn="ctr"/>
          <a:endParaRPr lang="en-NZ"/>
        </a:p>
      </dgm:t>
    </dgm:pt>
    <dgm:pt modelId="{DFF3326A-A241-4389-AEBD-F1344649C001}" type="sibTrans" cxnId="{FABB1CE2-93D9-4201-8865-53EB6004F69A}">
      <dgm:prSet/>
      <dgm:spPr/>
      <dgm:t>
        <a:bodyPr/>
        <a:lstStyle/>
        <a:p>
          <a:pPr algn="ctr"/>
          <a:endParaRPr lang="en-NZ"/>
        </a:p>
      </dgm:t>
    </dgm:pt>
    <dgm:pt modelId="{0D568FBE-0C5F-4962-989E-BF5278996A4D}">
      <dgm:prSet phldrT="[Text]"/>
      <dgm:spPr>
        <a:gradFill rotWithShape="0">
          <a:gsLst>
            <a:gs pos="0">
              <a:srgbClr val="42D0B8"/>
            </a:gs>
            <a:gs pos="80000">
              <a:srgbClr val="42D0B8"/>
            </a:gs>
            <a:gs pos="100000">
              <a:srgbClr val="42D0B8"/>
            </a:gs>
          </a:gsLst>
        </a:gradFill>
      </dgm:spPr>
      <dgm:t>
        <a:bodyPr/>
        <a:lstStyle/>
        <a:p>
          <a:pPr algn="ctr"/>
          <a:r>
            <a:rPr lang="en-NZ">
              <a:latin typeface="+mn-lt"/>
            </a:rPr>
            <a:t>Systems integration</a:t>
          </a:r>
        </a:p>
      </dgm:t>
    </dgm:pt>
    <dgm:pt modelId="{74DF8EE0-3520-494C-B6FA-1B8409B39869}" type="parTrans" cxnId="{613EFA7D-FAE3-446E-B19C-E6E6F0031CF8}">
      <dgm:prSet/>
      <dgm:spPr/>
      <dgm:t>
        <a:bodyPr/>
        <a:lstStyle/>
        <a:p>
          <a:pPr algn="ctr"/>
          <a:endParaRPr lang="en-NZ"/>
        </a:p>
      </dgm:t>
    </dgm:pt>
    <dgm:pt modelId="{FA645FDE-7F80-4C36-9AD8-F9B576496210}" type="sibTrans" cxnId="{613EFA7D-FAE3-446E-B19C-E6E6F0031CF8}">
      <dgm:prSet/>
      <dgm:spPr/>
      <dgm:t>
        <a:bodyPr/>
        <a:lstStyle/>
        <a:p>
          <a:pPr algn="ctr"/>
          <a:endParaRPr lang="en-NZ"/>
        </a:p>
      </dgm:t>
    </dgm:pt>
    <dgm:pt modelId="{D4694C23-9BC5-4A3B-9733-2D62A6FE4FDE}">
      <dgm:prSet phldrT="[Text]"/>
      <dgm:spPr>
        <a:gradFill rotWithShape="0">
          <a:gsLst>
            <a:gs pos="0">
              <a:srgbClr val="42D0B8"/>
            </a:gs>
            <a:gs pos="80000">
              <a:srgbClr val="42D0B8"/>
            </a:gs>
            <a:gs pos="100000">
              <a:srgbClr val="42D0B8"/>
            </a:gs>
          </a:gsLst>
        </a:gradFill>
      </dgm:spPr>
      <dgm:t>
        <a:bodyPr/>
        <a:lstStyle/>
        <a:p>
          <a:pPr algn="ctr"/>
          <a:r>
            <a:rPr lang="en-NZ">
              <a:latin typeface="+mn-lt"/>
              <a:cs typeface="Times New Roman" pitchFamily="18" charset="0"/>
            </a:rPr>
            <a:t>Focus integration</a:t>
          </a:r>
        </a:p>
      </dgm:t>
    </dgm:pt>
    <dgm:pt modelId="{6AC26ACF-48A1-4B2E-AB15-5329D6A488F7}" type="parTrans" cxnId="{165535E6-26EE-42FD-A0C2-0DA6B80687F4}">
      <dgm:prSet/>
      <dgm:spPr/>
      <dgm:t>
        <a:bodyPr/>
        <a:lstStyle/>
        <a:p>
          <a:pPr algn="ctr"/>
          <a:endParaRPr lang="en-NZ"/>
        </a:p>
      </dgm:t>
    </dgm:pt>
    <dgm:pt modelId="{4D641280-76B3-4B27-9376-BD834690C2ED}" type="sibTrans" cxnId="{165535E6-26EE-42FD-A0C2-0DA6B80687F4}">
      <dgm:prSet/>
      <dgm:spPr/>
      <dgm:t>
        <a:bodyPr/>
        <a:lstStyle/>
        <a:p>
          <a:pPr algn="ctr"/>
          <a:endParaRPr lang="en-NZ"/>
        </a:p>
      </dgm:t>
    </dgm:pt>
    <dgm:pt modelId="{7E74030E-DEFE-4494-A346-9492A6526AA0}">
      <dgm:prSet phldrT="[Text]"/>
      <dgm:spPr>
        <a:gradFill rotWithShape="0">
          <a:gsLst>
            <a:gs pos="0">
              <a:srgbClr val="42D0B8"/>
            </a:gs>
            <a:gs pos="80000">
              <a:srgbClr val="42D0B8"/>
            </a:gs>
            <a:gs pos="100000">
              <a:srgbClr val="42D0B8"/>
            </a:gs>
          </a:gsLst>
        </a:gradFill>
      </dgm:spPr>
      <dgm:t>
        <a:bodyPr/>
        <a:lstStyle/>
        <a:p>
          <a:pPr algn="ctr"/>
          <a:r>
            <a:rPr lang="en-NZ">
              <a:latin typeface="+mn-lt"/>
              <a:cs typeface="Times New Roman" pitchFamily="18" charset="0"/>
            </a:rPr>
            <a:t>Physical</a:t>
          </a:r>
          <a:r>
            <a:rPr lang="en-NZ">
              <a:latin typeface="+mn-lt"/>
            </a:rPr>
            <a:t> integration</a:t>
          </a:r>
        </a:p>
      </dgm:t>
    </dgm:pt>
    <dgm:pt modelId="{A0FCE051-13CD-4AEE-8659-BEB6B1EC90C9}" type="parTrans" cxnId="{6C0705D0-7723-4686-8473-1AAE77C9D860}">
      <dgm:prSet/>
      <dgm:spPr/>
      <dgm:t>
        <a:bodyPr/>
        <a:lstStyle/>
        <a:p>
          <a:pPr algn="ctr"/>
          <a:endParaRPr lang="en-NZ"/>
        </a:p>
      </dgm:t>
    </dgm:pt>
    <dgm:pt modelId="{95A40090-953D-47F8-9294-D2F30F72BAA5}" type="sibTrans" cxnId="{6C0705D0-7723-4686-8473-1AAE77C9D860}">
      <dgm:prSet/>
      <dgm:spPr/>
      <dgm:t>
        <a:bodyPr/>
        <a:lstStyle/>
        <a:p>
          <a:pPr algn="ctr"/>
          <a:endParaRPr lang="en-NZ"/>
        </a:p>
      </dgm:t>
    </dgm:pt>
    <dgm:pt modelId="{BEBE602A-8E58-4497-9DAE-82AF9EA1A39D}" type="pres">
      <dgm:prSet presAssocID="{F198B445-9EBD-4124-8CF8-FE1098D04CA8}" presName="Name0" presStyleCnt="0">
        <dgm:presLayoutVars>
          <dgm:chMax val="1"/>
          <dgm:dir/>
          <dgm:animLvl val="ctr"/>
          <dgm:resizeHandles val="exact"/>
        </dgm:presLayoutVars>
      </dgm:prSet>
      <dgm:spPr/>
      <dgm:t>
        <a:bodyPr/>
        <a:lstStyle/>
        <a:p>
          <a:endParaRPr lang="en-NZ"/>
        </a:p>
      </dgm:t>
    </dgm:pt>
    <dgm:pt modelId="{0443E28B-2637-447D-A09E-1E9D0BA111ED}" type="pres">
      <dgm:prSet presAssocID="{5CEF615D-CD1D-40FC-B5E1-1B3B8E786557}" presName="centerShape" presStyleLbl="node0" presStyleIdx="0" presStyleCnt="1"/>
      <dgm:spPr/>
      <dgm:t>
        <a:bodyPr/>
        <a:lstStyle/>
        <a:p>
          <a:endParaRPr lang="en-NZ"/>
        </a:p>
      </dgm:t>
    </dgm:pt>
    <dgm:pt modelId="{613BB8A4-7BCD-4157-9E6D-612B5F3C00BA}" type="pres">
      <dgm:prSet presAssocID="{C4B5B387-015C-4C26-9358-8AA25B8FB667}" presName="node" presStyleLbl="node1" presStyleIdx="0" presStyleCnt="4">
        <dgm:presLayoutVars>
          <dgm:bulletEnabled val="1"/>
        </dgm:presLayoutVars>
      </dgm:prSet>
      <dgm:spPr/>
      <dgm:t>
        <a:bodyPr/>
        <a:lstStyle/>
        <a:p>
          <a:endParaRPr lang="en-NZ"/>
        </a:p>
      </dgm:t>
    </dgm:pt>
    <dgm:pt modelId="{DDF07CBC-8352-4694-992D-5D1B499703E5}" type="pres">
      <dgm:prSet presAssocID="{C4B5B387-015C-4C26-9358-8AA25B8FB667}" presName="dummy" presStyleCnt="0"/>
      <dgm:spPr/>
    </dgm:pt>
    <dgm:pt modelId="{EE354DD9-0B4F-4E6D-833C-2D2F1F7F36B2}" type="pres">
      <dgm:prSet presAssocID="{DFF3326A-A241-4389-AEBD-F1344649C001}" presName="sibTrans" presStyleLbl="sibTrans2D1" presStyleIdx="0" presStyleCnt="4"/>
      <dgm:spPr/>
      <dgm:t>
        <a:bodyPr/>
        <a:lstStyle/>
        <a:p>
          <a:endParaRPr lang="en-NZ"/>
        </a:p>
      </dgm:t>
    </dgm:pt>
    <dgm:pt modelId="{874A7018-9CCA-4E4F-B887-484C88DEF24B}" type="pres">
      <dgm:prSet presAssocID="{0D568FBE-0C5F-4962-989E-BF5278996A4D}" presName="node" presStyleLbl="node1" presStyleIdx="1" presStyleCnt="4">
        <dgm:presLayoutVars>
          <dgm:bulletEnabled val="1"/>
        </dgm:presLayoutVars>
      </dgm:prSet>
      <dgm:spPr/>
      <dgm:t>
        <a:bodyPr/>
        <a:lstStyle/>
        <a:p>
          <a:endParaRPr lang="en-NZ"/>
        </a:p>
      </dgm:t>
    </dgm:pt>
    <dgm:pt modelId="{5F995007-7DDC-4360-AB3A-5C969D52A8C0}" type="pres">
      <dgm:prSet presAssocID="{0D568FBE-0C5F-4962-989E-BF5278996A4D}" presName="dummy" presStyleCnt="0"/>
      <dgm:spPr/>
    </dgm:pt>
    <dgm:pt modelId="{9FA8F483-AF48-4CD6-9EB8-F0D93BE66D4A}" type="pres">
      <dgm:prSet presAssocID="{FA645FDE-7F80-4C36-9AD8-F9B576496210}" presName="sibTrans" presStyleLbl="sibTrans2D1" presStyleIdx="1" presStyleCnt="4"/>
      <dgm:spPr/>
      <dgm:t>
        <a:bodyPr/>
        <a:lstStyle/>
        <a:p>
          <a:endParaRPr lang="en-NZ"/>
        </a:p>
      </dgm:t>
    </dgm:pt>
    <dgm:pt modelId="{2DCE4E6D-B34B-4877-9EC3-0A43FF942319}" type="pres">
      <dgm:prSet presAssocID="{D4694C23-9BC5-4A3B-9733-2D62A6FE4FDE}" presName="node" presStyleLbl="node1" presStyleIdx="2" presStyleCnt="4">
        <dgm:presLayoutVars>
          <dgm:bulletEnabled val="1"/>
        </dgm:presLayoutVars>
      </dgm:prSet>
      <dgm:spPr/>
      <dgm:t>
        <a:bodyPr/>
        <a:lstStyle/>
        <a:p>
          <a:endParaRPr lang="en-NZ"/>
        </a:p>
      </dgm:t>
    </dgm:pt>
    <dgm:pt modelId="{E6E6C58D-0168-48FA-A795-F159E99D293C}" type="pres">
      <dgm:prSet presAssocID="{D4694C23-9BC5-4A3B-9733-2D62A6FE4FDE}" presName="dummy" presStyleCnt="0"/>
      <dgm:spPr/>
    </dgm:pt>
    <dgm:pt modelId="{49FF473E-D3BB-4DC3-BF05-BDE3EBFA23FA}" type="pres">
      <dgm:prSet presAssocID="{4D641280-76B3-4B27-9376-BD834690C2ED}" presName="sibTrans" presStyleLbl="sibTrans2D1" presStyleIdx="2" presStyleCnt="4"/>
      <dgm:spPr/>
      <dgm:t>
        <a:bodyPr/>
        <a:lstStyle/>
        <a:p>
          <a:endParaRPr lang="en-NZ"/>
        </a:p>
      </dgm:t>
    </dgm:pt>
    <dgm:pt modelId="{88126C16-ABFD-44B1-9EFF-93260F3BA874}" type="pres">
      <dgm:prSet presAssocID="{7E74030E-DEFE-4494-A346-9492A6526AA0}" presName="node" presStyleLbl="node1" presStyleIdx="3" presStyleCnt="4">
        <dgm:presLayoutVars>
          <dgm:bulletEnabled val="1"/>
        </dgm:presLayoutVars>
      </dgm:prSet>
      <dgm:spPr/>
      <dgm:t>
        <a:bodyPr/>
        <a:lstStyle/>
        <a:p>
          <a:endParaRPr lang="en-NZ"/>
        </a:p>
      </dgm:t>
    </dgm:pt>
    <dgm:pt modelId="{85234B0C-DE87-48FD-896F-E350DE0ED808}" type="pres">
      <dgm:prSet presAssocID="{7E74030E-DEFE-4494-A346-9492A6526AA0}" presName="dummy" presStyleCnt="0"/>
      <dgm:spPr/>
    </dgm:pt>
    <dgm:pt modelId="{CCEA15F3-5679-43B5-B899-7ED91D79ECF6}" type="pres">
      <dgm:prSet presAssocID="{95A40090-953D-47F8-9294-D2F30F72BAA5}" presName="sibTrans" presStyleLbl="sibTrans2D1" presStyleIdx="3" presStyleCnt="4"/>
      <dgm:spPr/>
      <dgm:t>
        <a:bodyPr/>
        <a:lstStyle/>
        <a:p>
          <a:endParaRPr lang="en-NZ"/>
        </a:p>
      </dgm:t>
    </dgm:pt>
  </dgm:ptLst>
  <dgm:cxnLst>
    <dgm:cxn modelId="{8FD4D54D-9028-4F5E-8517-C92DC6B2C17E}" type="presOf" srcId="{95A40090-953D-47F8-9294-D2F30F72BAA5}" destId="{CCEA15F3-5679-43B5-B899-7ED91D79ECF6}" srcOrd="0" destOrd="0" presId="urn:microsoft.com/office/officeart/2005/8/layout/radial6"/>
    <dgm:cxn modelId="{43EFC613-5330-4BE9-8DE4-0179429B2C8D}" type="presOf" srcId="{DFF3326A-A241-4389-AEBD-F1344649C001}" destId="{EE354DD9-0B4F-4E6D-833C-2D2F1F7F36B2}" srcOrd="0" destOrd="0" presId="urn:microsoft.com/office/officeart/2005/8/layout/radial6"/>
    <dgm:cxn modelId="{613EFA7D-FAE3-446E-B19C-E6E6F0031CF8}" srcId="{5CEF615D-CD1D-40FC-B5E1-1B3B8E786557}" destId="{0D568FBE-0C5F-4962-989E-BF5278996A4D}" srcOrd="1" destOrd="0" parTransId="{74DF8EE0-3520-494C-B6FA-1B8409B39869}" sibTransId="{FA645FDE-7F80-4C36-9AD8-F9B576496210}"/>
    <dgm:cxn modelId="{79D0675A-A1FC-4334-87C6-6059D7A3E88A}" type="presOf" srcId="{C4B5B387-015C-4C26-9358-8AA25B8FB667}" destId="{613BB8A4-7BCD-4157-9E6D-612B5F3C00BA}" srcOrd="0" destOrd="0" presId="urn:microsoft.com/office/officeart/2005/8/layout/radial6"/>
    <dgm:cxn modelId="{6C0705D0-7723-4686-8473-1AAE77C9D860}" srcId="{5CEF615D-CD1D-40FC-B5E1-1B3B8E786557}" destId="{7E74030E-DEFE-4494-A346-9492A6526AA0}" srcOrd="3" destOrd="0" parTransId="{A0FCE051-13CD-4AEE-8659-BEB6B1EC90C9}" sibTransId="{95A40090-953D-47F8-9294-D2F30F72BAA5}"/>
    <dgm:cxn modelId="{F4CDD339-D181-403F-B884-893749CE5CC0}" srcId="{F198B445-9EBD-4124-8CF8-FE1098D04CA8}" destId="{5CEF615D-CD1D-40FC-B5E1-1B3B8E786557}" srcOrd="0" destOrd="0" parTransId="{723FA4E5-4C96-445D-8C03-5D0239BFE99E}" sibTransId="{A307A3CB-E93C-41AD-BD57-F65E6CEC66EA}"/>
    <dgm:cxn modelId="{9DD0614A-D410-457E-8BCF-09578D8B0E61}" type="presOf" srcId="{D4694C23-9BC5-4A3B-9733-2D62A6FE4FDE}" destId="{2DCE4E6D-B34B-4877-9EC3-0A43FF942319}" srcOrd="0" destOrd="0" presId="urn:microsoft.com/office/officeart/2005/8/layout/radial6"/>
    <dgm:cxn modelId="{5C6EE832-8BA7-4C85-8912-03F9DDAC2DE6}" type="presOf" srcId="{0D568FBE-0C5F-4962-989E-BF5278996A4D}" destId="{874A7018-9CCA-4E4F-B887-484C88DEF24B}" srcOrd="0" destOrd="0" presId="urn:microsoft.com/office/officeart/2005/8/layout/radial6"/>
    <dgm:cxn modelId="{5BFF7A40-0E42-4C9B-91F0-4DEAF84D03AA}" type="presOf" srcId="{7E74030E-DEFE-4494-A346-9492A6526AA0}" destId="{88126C16-ABFD-44B1-9EFF-93260F3BA874}" srcOrd="0" destOrd="0" presId="urn:microsoft.com/office/officeart/2005/8/layout/radial6"/>
    <dgm:cxn modelId="{165535E6-26EE-42FD-A0C2-0DA6B80687F4}" srcId="{5CEF615D-CD1D-40FC-B5E1-1B3B8E786557}" destId="{D4694C23-9BC5-4A3B-9733-2D62A6FE4FDE}" srcOrd="2" destOrd="0" parTransId="{6AC26ACF-48A1-4B2E-AB15-5329D6A488F7}" sibTransId="{4D641280-76B3-4B27-9376-BD834690C2ED}"/>
    <dgm:cxn modelId="{4B6B3460-3AF0-4C67-8E33-4E24C9439B5C}" type="presOf" srcId="{F198B445-9EBD-4124-8CF8-FE1098D04CA8}" destId="{BEBE602A-8E58-4497-9DAE-82AF9EA1A39D}" srcOrd="0" destOrd="0" presId="urn:microsoft.com/office/officeart/2005/8/layout/radial6"/>
    <dgm:cxn modelId="{FABB1CE2-93D9-4201-8865-53EB6004F69A}" srcId="{5CEF615D-CD1D-40FC-B5E1-1B3B8E786557}" destId="{C4B5B387-015C-4C26-9358-8AA25B8FB667}" srcOrd="0" destOrd="0" parTransId="{F56DA9F6-45CE-42A7-910E-DA09FB6229E1}" sibTransId="{DFF3326A-A241-4389-AEBD-F1344649C001}"/>
    <dgm:cxn modelId="{194D0192-F387-42B5-92B9-F357D7403A9A}" type="presOf" srcId="{FA645FDE-7F80-4C36-9AD8-F9B576496210}" destId="{9FA8F483-AF48-4CD6-9EB8-F0D93BE66D4A}" srcOrd="0" destOrd="0" presId="urn:microsoft.com/office/officeart/2005/8/layout/radial6"/>
    <dgm:cxn modelId="{2DA0C9F7-A524-4F8F-9211-C881548AF1D1}" type="presOf" srcId="{4D641280-76B3-4B27-9376-BD834690C2ED}" destId="{49FF473E-D3BB-4DC3-BF05-BDE3EBFA23FA}" srcOrd="0" destOrd="0" presId="urn:microsoft.com/office/officeart/2005/8/layout/radial6"/>
    <dgm:cxn modelId="{5A5B6804-B28A-4D5B-B72B-7FDF742BEA6E}" type="presOf" srcId="{5CEF615D-CD1D-40FC-B5E1-1B3B8E786557}" destId="{0443E28B-2637-447D-A09E-1E9D0BA111ED}" srcOrd="0" destOrd="0" presId="urn:microsoft.com/office/officeart/2005/8/layout/radial6"/>
    <dgm:cxn modelId="{2C76ECF8-15D9-4CE5-9307-47394DB3BB46}" type="presParOf" srcId="{BEBE602A-8E58-4497-9DAE-82AF9EA1A39D}" destId="{0443E28B-2637-447D-A09E-1E9D0BA111ED}" srcOrd="0" destOrd="0" presId="urn:microsoft.com/office/officeart/2005/8/layout/radial6"/>
    <dgm:cxn modelId="{E94C1E55-5349-4F31-9BB5-70ACC1DA7269}" type="presParOf" srcId="{BEBE602A-8E58-4497-9DAE-82AF9EA1A39D}" destId="{613BB8A4-7BCD-4157-9E6D-612B5F3C00BA}" srcOrd="1" destOrd="0" presId="urn:microsoft.com/office/officeart/2005/8/layout/radial6"/>
    <dgm:cxn modelId="{FDF6A874-7184-4F9E-A513-3CBB6481578D}" type="presParOf" srcId="{BEBE602A-8E58-4497-9DAE-82AF9EA1A39D}" destId="{DDF07CBC-8352-4694-992D-5D1B499703E5}" srcOrd="2" destOrd="0" presId="urn:microsoft.com/office/officeart/2005/8/layout/radial6"/>
    <dgm:cxn modelId="{052D1246-DA89-4B28-A7CE-7DBF76AE9CD9}" type="presParOf" srcId="{BEBE602A-8E58-4497-9DAE-82AF9EA1A39D}" destId="{EE354DD9-0B4F-4E6D-833C-2D2F1F7F36B2}" srcOrd="3" destOrd="0" presId="urn:microsoft.com/office/officeart/2005/8/layout/radial6"/>
    <dgm:cxn modelId="{272CE8F8-494E-4530-94EB-AF01BB23A7A0}" type="presParOf" srcId="{BEBE602A-8E58-4497-9DAE-82AF9EA1A39D}" destId="{874A7018-9CCA-4E4F-B887-484C88DEF24B}" srcOrd="4" destOrd="0" presId="urn:microsoft.com/office/officeart/2005/8/layout/radial6"/>
    <dgm:cxn modelId="{7C9C98C7-801F-4F36-80C2-F23FA1173BA6}" type="presParOf" srcId="{BEBE602A-8E58-4497-9DAE-82AF9EA1A39D}" destId="{5F995007-7DDC-4360-AB3A-5C969D52A8C0}" srcOrd="5" destOrd="0" presId="urn:microsoft.com/office/officeart/2005/8/layout/radial6"/>
    <dgm:cxn modelId="{515C77FB-2808-442B-A3FA-2A0DB87D35C8}" type="presParOf" srcId="{BEBE602A-8E58-4497-9DAE-82AF9EA1A39D}" destId="{9FA8F483-AF48-4CD6-9EB8-F0D93BE66D4A}" srcOrd="6" destOrd="0" presId="urn:microsoft.com/office/officeart/2005/8/layout/radial6"/>
    <dgm:cxn modelId="{315DE45D-DA4F-40E0-9B05-3B0A8EB864E8}" type="presParOf" srcId="{BEBE602A-8E58-4497-9DAE-82AF9EA1A39D}" destId="{2DCE4E6D-B34B-4877-9EC3-0A43FF942319}" srcOrd="7" destOrd="0" presId="urn:microsoft.com/office/officeart/2005/8/layout/radial6"/>
    <dgm:cxn modelId="{7C6F07F0-3934-47D3-A67C-10F038AAE589}" type="presParOf" srcId="{BEBE602A-8E58-4497-9DAE-82AF9EA1A39D}" destId="{E6E6C58D-0168-48FA-A795-F159E99D293C}" srcOrd="8" destOrd="0" presId="urn:microsoft.com/office/officeart/2005/8/layout/radial6"/>
    <dgm:cxn modelId="{3F9737D8-16AF-489B-96C5-730851383EF1}" type="presParOf" srcId="{BEBE602A-8E58-4497-9DAE-82AF9EA1A39D}" destId="{49FF473E-D3BB-4DC3-BF05-BDE3EBFA23FA}" srcOrd="9" destOrd="0" presId="urn:microsoft.com/office/officeart/2005/8/layout/radial6"/>
    <dgm:cxn modelId="{87A49F4A-3DAE-4143-A9C7-F16A661756C9}" type="presParOf" srcId="{BEBE602A-8E58-4497-9DAE-82AF9EA1A39D}" destId="{88126C16-ABFD-44B1-9EFF-93260F3BA874}" srcOrd="10" destOrd="0" presId="urn:microsoft.com/office/officeart/2005/8/layout/radial6"/>
    <dgm:cxn modelId="{D6E3DE08-DCE8-430E-ADAC-6B3D5E904F93}" type="presParOf" srcId="{BEBE602A-8E58-4497-9DAE-82AF9EA1A39D}" destId="{85234B0C-DE87-48FD-896F-E350DE0ED808}" srcOrd="11" destOrd="0" presId="urn:microsoft.com/office/officeart/2005/8/layout/radial6"/>
    <dgm:cxn modelId="{74D382D1-79BC-4856-9578-B7E7A5B27843}" type="presParOf" srcId="{BEBE602A-8E58-4497-9DAE-82AF9EA1A39D}" destId="{CCEA15F3-5679-43B5-B899-7ED91D79ECF6}" srcOrd="12" destOrd="0" presId="urn:microsoft.com/office/officeart/2005/8/layout/radial6"/>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CEA15F3-5679-43B5-B899-7ED91D79ECF6}">
      <dsp:nvSpPr>
        <dsp:cNvPr id="0" name=""/>
        <dsp:cNvSpPr/>
      </dsp:nvSpPr>
      <dsp:spPr>
        <a:xfrm>
          <a:off x="1737595" y="318370"/>
          <a:ext cx="2125509" cy="2125509"/>
        </a:xfrm>
        <a:prstGeom prst="blockArc">
          <a:avLst>
            <a:gd name="adj1" fmla="val 10800000"/>
            <a:gd name="adj2" fmla="val 16200000"/>
            <a:gd name="adj3" fmla="val 4643"/>
          </a:avLst>
        </a:prstGeom>
        <a:gradFill rotWithShape="0">
          <a:gsLst>
            <a:gs pos="0">
              <a:schemeClr val="accent3">
                <a:tint val="60000"/>
                <a:hueOff val="0"/>
                <a:satOff val="0"/>
                <a:lumOff val="0"/>
                <a:alphaOff val="0"/>
                <a:shade val="51000"/>
                <a:satMod val="130000"/>
              </a:schemeClr>
            </a:gs>
            <a:gs pos="80000">
              <a:schemeClr val="accent3">
                <a:tint val="60000"/>
                <a:hueOff val="0"/>
                <a:satOff val="0"/>
                <a:lumOff val="0"/>
                <a:alphaOff val="0"/>
                <a:shade val="93000"/>
                <a:satMod val="130000"/>
              </a:schemeClr>
            </a:gs>
            <a:gs pos="100000">
              <a:schemeClr val="accent3">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49FF473E-D3BB-4DC3-BF05-BDE3EBFA23FA}">
      <dsp:nvSpPr>
        <dsp:cNvPr id="0" name=""/>
        <dsp:cNvSpPr/>
      </dsp:nvSpPr>
      <dsp:spPr>
        <a:xfrm>
          <a:off x="1737595" y="318370"/>
          <a:ext cx="2125509" cy="2125509"/>
        </a:xfrm>
        <a:prstGeom prst="blockArc">
          <a:avLst>
            <a:gd name="adj1" fmla="val 5400000"/>
            <a:gd name="adj2" fmla="val 10800000"/>
            <a:gd name="adj3" fmla="val 4643"/>
          </a:avLst>
        </a:prstGeom>
        <a:gradFill rotWithShape="0">
          <a:gsLst>
            <a:gs pos="0">
              <a:schemeClr val="accent3">
                <a:tint val="60000"/>
                <a:hueOff val="0"/>
                <a:satOff val="0"/>
                <a:lumOff val="0"/>
                <a:alphaOff val="0"/>
                <a:shade val="51000"/>
                <a:satMod val="130000"/>
              </a:schemeClr>
            </a:gs>
            <a:gs pos="80000">
              <a:schemeClr val="accent3">
                <a:tint val="60000"/>
                <a:hueOff val="0"/>
                <a:satOff val="0"/>
                <a:lumOff val="0"/>
                <a:alphaOff val="0"/>
                <a:shade val="93000"/>
                <a:satMod val="130000"/>
              </a:schemeClr>
            </a:gs>
            <a:gs pos="100000">
              <a:schemeClr val="accent3">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9FA8F483-AF48-4CD6-9EB8-F0D93BE66D4A}">
      <dsp:nvSpPr>
        <dsp:cNvPr id="0" name=""/>
        <dsp:cNvSpPr/>
      </dsp:nvSpPr>
      <dsp:spPr>
        <a:xfrm>
          <a:off x="1737595" y="318370"/>
          <a:ext cx="2125509" cy="2125509"/>
        </a:xfrm>
        <a:prstGeom prst="blockArc">
          <a:avLst>
            <a:gd name="adj1" fmla="val 0"/>
            <a:gd name="adj2" fmla="val 5400000"/>
            <a:gd name="adj3" fmla="val 4643"/>
          </a:avLst>
        </a:prstGeom>
        <a:gradFill rotWithShape="0">
          <a:gsLst>
            <a:gs pos="0">
              <a:schemeClr val="accent3">
                <a:tint val="60000"/>
                <a:hueOff val="0"/>
                <a:satOff val="0"/>
                <a:lumOff val="0"/>
                <a:alphaOff val="0"/>
                <a:shade val="51000"/>
                <a:satMod val="130000"/>
              </a:schemeClr>
            </a:gs>
            <a:gs pos="80000">
              <a:schemeClr val="accent3">
                <a:tint val="60000"/>
                <a:hueOff val="0"/>
                <a:satOff val="0"/>
                <a:lumOff val="0"/>
                <a:alphaOff val="0"/>
                <a:shade val="93000"/>
                <a:satMod val="130000"/>
              </a:schemeClr>
            </a:gs>
            <a:gs pos="100000">
              <a:schemeClr val="accent3">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EE354DD9-0B4F-4E6D-833C-2D2F1F7F36B2}">
      <dsp:nvSpPr>
        <dsp:cNvPr id="0" name=""/>
        <dsp:cNvSpPr/>
      </dsp:nvSpPr>
      <dsp:spPr>
        <a:xfrm>
          <a:off x="1737595" y="318370"/>
          <a:ext cx="2125509" cy="2125509"/>
        </a:xfrm>
        <a:prstGeom prst="blockArc">
          <a:avLst>
            <a:gd name="adj1" fmla="val 16200000"/>
            <a:gd name="adj2" fmla="val 0"/>
            <a:gd name="adj3" fmla="val 4643"/>
          </a:avLst>
        </a:prstGeom>
        <a:gradFill rotWithShape="0">
          <a:gsLst>
            <a:gs pos="0">
              <a:schemeClr val="accent3">
                <a:tint val="60000"/>
                <a:hueOff val="0"/>
                <a:satOff val="0"/>
                <a:lumOff val="0"/>
                <a:alphaOff val="0"/>
                <a:shade val="51000"/>
                <a:satMod val="130000"/>
              </a:schemeClr>
            </a:gs>
            <a:gs pos="80000">
              <a:schemeClr val="accent3">
                <a:tint val="60000"/>
                <a:hueOff val="0"/>
                <a:satOff val="0"/>
                <a:lumOff val="0"/>
                <a:alphaOff val="0"/>
                <a:shade val="93000"/>
                <a:satMod val="130000"/>
              </a:schemeClr>
            </a:gs>
            <a:gs pos="100000">
              <a:schemeClr val="accent3">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0443E28B-2637-447D-A09E-1E9D0BA111ED}">
      <dsp:nvSpPr>
        <dsp:cNvPr id="0" name=""/>
        <dsp:cNvSpPr/>
      </dsp:nvSpPr>
      <dsp:spPr>
        <a:xfrm>
          <a:off x="2310835" y="891610"/>
          <a:ext cx="979028" cy="979028"/>
        </a:xfrm>
        <a:prstGeom prst="ellipse">
          <a:avLst/>
        </a:prstGeom>
        <a:gradFill rotWithShape="0">
          <a:gsLst>
            <a:gs pos="0">
              <a:srgbClr val="42D0B8"/>
            </a:gs>
            <a:gs pos="80000">
              <a:srgbClr val="42D0B8"/>
            </a:gs>
            <a:gs pos="100000">
              <a:srgbClr val="42D0B8"/>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NZ" sz="1200" kern="1200">
              <a:latin typeface="+mn-lt"/>
            </a:rPr>
            <a:t>Maori oral </a:t>
          </a:r>
          <a:r>
            <a:rPr lang="en-NZ" sz="1200" kern="1200">
              <a:latin typeface="+mn-lt"/>
              <a:cs typeface="Times New Roman" pitchFamily="18" charset="0"/>
            </a:rPr>
            <a:t>health</a:t>
          </a:r>
          <a:r>
            <a:rPr lang="en-NZ" sz="1200" kern="1200">
              <a:latin typeface="+mn-lt"/>
            </a:rPr>
            <a:t> </a:t>
          </a:r>
          <a:r>
            <a:rPr lang="en-NZ" sz="1200" kern="1200">
              <a:latin typeface="+mn-lt"/>
              <a:cs typeface="Times New Roman" pitchFamily="18" charset="0"/>
            </a:rPr>
            <a:t>providers</a:t>
          </a:r>
        </a:p>
      </dsp:txBody>
      <dsp:txXfrm>
        <a:off x="2454210" y="1034985"/>
        <a:ext cx="692278" cy="692278"/>
      </dsp:txXfrm>
    </dsp:sp>
    <dsp:sp modelId="{613BB8A4-7BCD-4157-9E6D-612B5F3C00BA}">
      <dsp:nvSpPr>
        <dsp:cNvPr id="0" name=""/>
        <dsp:cNvSpPr/>
      </dsp:nvSpPr>
      <dsp:spPr>
        <a:xfrm>
          <a:off x="2457689" y="381"/>
          <a:ext cx="685320" cy="685320"/>
        </a:xfrm>
        <a:prstGeom prst="ellipse">
          <a:avLst/>
        </a:prstGeom>
        <a:gradFill rotWithShape="0">
          <a:gsLst>
            <a:gs pos="0">
              <a:srgbClr val="42D0B8"/>
            </a:gs>
            <a:gs pos="100000">
              <a:srgbClr val="42D0B8"/>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NZ" sz="800" kern="1200">
              <a:latin typeface="+mn-lt"/>
            </a:rPr>
            <a:t>Knowledge </a:t>
          </a:r>
          <a:r>
            <a:rPr lang="en-NZ" sz="800" kern="1200">
              <a:latin typeface="+mn-lt"/>
              <a:cs typeface="Times New Roman" pitchFamily="18" charset="0"/>
            </a:rPr>
            <a:t>integration</a:t>
          </a:r>
        </a:p>
      </dsp:txBody>
      <dsp:txXfrm>
        <a:off x="2558052" y="100744"/>
        <a:ext cx="484594" cy="484594"/>
      </dsp:txXfrm>
    </dsp:sp>
    <dsp:sp modelId="{874A7018-9CCA-4E4F-B887-484C88DEF24B}">
      <dsp:nvSpPr>
        <dsp:cNvPr id="0" name=""/>
        <dsp:cNvSpPr/>
      </dsp:nvSpPr>
      <dsp:spPr>
        <a:xfrm>
          <a:off x="3495773" y="1038464"/>
          <a:ext cx="685320" cy="685320"/>
        </a:xfrm>
        <a:prstGeom prst="ellipse">
          <a:avLst/>
        </a:prstGeom>
        <a:gradFill rotWithShape="0">
          <a:gsLst>
            <a:gs pos="0">
              <a:srgbClr val="42D0B8"/>
            </a:gs>
            <a:gs pos="80000">
              <a:srgbClr val="42D0B8"/>
            </a:gs>
            <a:gs pos="100000">
              <a:srgbClr val="42D0B8"/>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NZ" sz="800" kern="1200">
              <a:latin typeface="+mn-lt"/>
            </a:rPr>
            <a:t>Systems integration</a:t>
          </a:r>
        </a:p>
      </dsp:txBody>
      <dsp:txXfrm>
        <a:off x="3596136" y="1138827"/>
        <a:ext cx="484594" cy="484594"/>
      </dsp:txXfrm>
    </dsp:sp>
    <dsp:sp modelId="{2DCE4E6D-B34B-4877-9EC3-0A43FF942319}">
      <dsp:nvSpPr>
        <dsp:cNvPr id="0" name=""/>
        <dsp:cNvSpPr/>
      </dsp:nvSpPr>
      <dsp:spPr>
        <a:xfrm>
          <a:off x="2457689" y="2076548"/>
          <a:ext cx="685320" cy="685320"/>
        </a:xfrm>
        <a:prstGeom prst="ellipse">
          <a:avLst/>
        </a:prstGeom>
        <a:gradFill rotWithShape="0">
          <a:gsLst>
            <a:gs pos="0">
              <a:srgbClr val="42D0B8"/>
            </a:gs>
            <a:gs pos="80000">
              <a:srgbClr val="42D0B8"/>
            </a:gs>
            <a:gs pos="100000">
              <a:srgbClr val="42D0B8"/>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NZ" sz="800" kern="1200">
              <a:latin typeface="+mn-lt"/>
              <a:cs typeface="Times New Roman" pitchFamily="18" charset="0"/>
            </a:rPr>
            <a:t>Focus integration</a:t>
          </a:r>
        </a:p>
      </dsp:txBody>
      <dsp:txXfrm>
        <a:off x="2558052" y="2176911"/>
        <a:ext cx="484594" cy="484594"/>
      </dsp:txXfrm>
    </dsp:sp>
    <dsp:sp modelId="{88126C16-ABFD-44B1-9EFF-93260F3BA874}">
      <dsp:nvSpPr>
        <dsp:cNvPr id="0" name=""/>
        <dsp:cNvSpPr/>
      </dsp:nvSpPr>
      <dsp:spPr>
        <a:xfrm>
          <a:off x="1419606" y="1038464"/>
          <a:ext cx="685320" cy="685320"/>
        </a:xfrm>
        <a:prstGeom prst="ellipse">
          <a:avLst/>
        </a:prstGeom>
        <a:gradFill rotWithShape="0">
          <a:gsLst>
            <a:gs pos="0">
              <a:srgbClr val="42D0B8"/>
            </a:gs>
            <a:gs pos="80000">
              <a:srgbClr val="42D0B8"/>
            </a:gs>
            <a:gs pos="100000">
              <a:srgbClr val="42D0B8"/>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NZ" sz="800" kern="1200">
              <a:latin typeface="+mn-lt"/>
              <a:cs typeface="Times New Roman" pitchFamily="18" charset="0"/>
            </a:rPr>
            <a:t>Physical</a:t>
          </a:r>
          <a:r>
            <a:rPr lang="en-NZ" sz="800" kern="1200">
              <a:latin typeface="+mn-lt"/>
            </a:rPr>
            <a:t> integration</a:t>
          </a:r>
        </a:p>
      </dsp:txBody>
      <dsp:txXfrm>
        <a:off x="1519969" y="1138827"/>
        <a:ext cx="484594" cy="484594"/>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D062B2-DA22-440E-926F-76A3C7EE2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8555</Words>
  <Characters>48769</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Te Puni Kokiri</Company>
  <LinksUpToDate>false</LinksUpToDate>
  <CharactersWithSpaces>57210</CharactersWithSpaces>
  <SharedDoc>false</SharedDoc>
  <HLinks>
    <vt:vector size="174" baseType="variant">
      <vt:variant>
        <vt:i4>5701668</vt:i4>
      </vt:variant>
      <vt:variant>
        <vt:i4>168</vt:i4>
      </vt:variant>
      <vt:variant>
        <vt:i4>0</vt:i4>
      </vt:variant>
      <vt:variant>
        <vt:i4>5</vt:i4>
      </vt:variant>
      <vt:variant>
        <vt:lpwstr>http://www.who.int/oral_health/action/risks/en/index2/.html</vt:lpwstr>
      </vt:variant>
      <vt:variant>
        <vt:lpwstr/>
      </vt:variant>
      <vt:variant>
        <vt:i4>6357071</vt:i4>
      </vt:variant>
      <vt:variant>
        <vt:i4>165</vt:i4>
      </vt:variant>
      <vt:variant>
        <vt:i4>0</vt:i4>
      </vt:variant>
      <vt:variant>
        <vt:i4>5</vt:i4>
      </vt:variant>
      <vt:variant>
        <vt:lpwstr>http://depts.washington.edu/nacrohd/sites/default/files/oral_health_pregnancy_0.pdf</vt:lpwstr>
      </vt:variant>
      <vt:variant>
        <vt:lpwstr/>
      </vt:variant>
      <vt:variant>
        <vt:i4>3080251</vt:i4>
      </vt:variant>
      <vt:variant>
        <vt:i4>162</vt:i4>
      </vt:variant>
      <vt:variant>
        <vt:i4>0</vt:i4>
      </vt:variant>
      <vt:variant>
        <vt:i4>5</vt:i4>
      </vt:variant>
      <vt:variant>
        <vt:lpwstr>http://www.health.state.ny.us/publications/0824.pdf</vt:lpwstr>
      </vt:variant>
      <vt:variant>
        <vt:lpwstr/>
      </vt:variant>
      <vt:variant>
        <vt:i4>1310774</vt:i4>
      </vt:variant>
      <vt:variant>
        <vt:i4>152</vt:i4>
      </vt:variant>
      <vt:variant>
        <vt:i4>0</vt:i4>
      </vt:variant>
      <vt:variant>
        <vt:i4>5</vt:i4>
      </vt:variant>
      <vt:variant>
        <vt:lpwstr/>
      </vt:variant>
      <vt:variant>
        <vt:lpwstr>_Toc339998519</vt:lpwstr>
      </vt:variant>
      <vt:variant>
        <vt:i4>1310774</vt:i4>
      </vt:variant>
      <vt:variant>
        <vt:i4>146</vt:i4>
      </vt:variant>
      <vt:variant>
        <vt:i4>0</vt:i4>
      </vt:variant>
      <vt:variant>
        <vt:i4>5</vt:i4>
      </vt:variant>
      <vt:variant>
        <vt:lpwstr/>
      </vt:variant>
      <vt:variant>
        <vt:lpwstr>_Toc339998518</vt:lpwstr>
      </vt:variant>
      <vt:variant>
        <vt:i4>1310774</vt:i4>
      </vt:variant>
      <vt:variant>
        <vt:i4>140</vt:i4>
      </vt:variant>
      <vt:variant>
        <vt:i4>0</vt:i4>
      </vt:variant>
      <vt:variant>
        <vt:i4>5</vt:i4>
      </vt:variant>
      <vt:variant>
        <vt:lpwstr/>
      </vt:variant>
      <vt:variant>
        <vt:lpwstr>_Toc339998517</vt:lpwstr>
      </vt:variant>
      <vt:variant>
        <vt:i4>1310774</vt:i4>
      </vt:variant>
      <vt:variant>
        <vt:i4>134</vt:i4>
      </vt:variant>
      <vt:variant>
        <vt:i4>0</vt:i4>
      </vt:variant>
      <vt:variant>
        <vt:i4>5</vt:i4>
      </vt:variant>
      <vt:variant>
        <vt:lpwstr/>
      </vt:variant>
      <vt:variant>
        <vt:lpwstr>_Toc339998516</vt:lpwstr>
      </vt:variant>
      <vt:variant>
        <vt:i4>1310774</vt:i4>
      </vt:variant>
      <vt:variant>
        <vt:i4>128</vt:i4>
      </vt:variant>
      <vt:variant>
        <vt:i4>0</vt:i4>
      </vt:variant>
      <vt:variant>
        <vt:i4>5</vt:i4>
      </vt:variant>
      <vt:variant>
        <vt:lpwstr/>
      </vt:variant>
      <vt:variant>
        <vt:lpwstr>_Toc339998515</vt:lpwstr>
      </vt:variant>
      <vt:variant>
        <vt:i4>1310774</vt:i4>
      </vt:variant>
      <vt:variant>
        <vt:i4>122</vt:i4>
      </vt:variant>
      <vt:variant>
        <vt:i4>0</vt:i4>
      </vt:variant>
      <vt:variant>
        <vt:i4>5</vt:i4>
      </vt:variant>
      <vt:variant>
        <vt:lpwstr/>
      </vt:variant>
      <vt:variant>
        <vt:lpwstr>_Toc339998514</vt:lpwstr>
      </vt:variant>
      <vt:variant>
        <vt:i4>1310774</vt:i4>
      </vt:variant>
      <vt:variant>
        <vt:i4>116</vt:i4>
      </vt:variant>
      <vt:variant>
        <vt:i4>0</vt:i4>
      </vt:variant>
      <vt:variant>
        <vt:i4>5</vt:i4>
      </vt:variant>
      <vt:variant>
        <vt:lpwstr/>
      </vt:variant>
      <vt:variant>
        <vt:lpwstr>_Toc339998513</vt:lpwstr>
      </vt:variant>
      <vt:variant>
        <vt:i4>1310774</vt:i4>
      </vt:variant>
      <vt:variant>
        <vt:i4>110</vt:i4>
      </vt:variant>
      <vt:variant>
        <vt:i4>0</vt:i4>
      </vt:variant>
      <vt:variant>
        <vt:i4>5</vt:i4>
      </vt:variant>
      <vt:variant>
        <vt:lpwstr/>
      </vt:variant>
      <vt:variant>
        <vt:lpwstr>_Toc339998512</vt:lpwstr>
      </vt:variant>
      <vt:variant>
        <vt:i4>1310774</vt:i4>
      </vt:variant>
      <vt:variant>
        <vt:i4>104</vt:i4>
      </vt:variant>
      <vt:variant>
        <vt:i4>0</vt:i4>
      </vt:variant>
      <vt:variant>
        <vt:i4>5</vt:i4>
      </vt:variant>
      <vt:variant>
        <vt:lpwstr/>
      </vt:variant>
      <vt:variant>
        <vt:lpwstr>_Toc339998511</vt:lpwstr>
      </vt:variant>
      <vt:variant>
        <vt:i4>1310774</vt:i4>
      </vt:variant>
      <vt:variant>
        <vt:i4>98</vt:i4>
      </vt:variant>
      <vt:variant>
        <vt:i4>0</vt:i4>
      </vt:variant>
      <vt:variant>
        <vt:i4>5</vt:i4>
      </vt:variant>
      <vt:variant>
        <vt:lpwstr/>
      </vt:variant>
      <vt:variant>
        <vt:lpwstr>_Toc339998510</vt:lpwstr>
      </vt:variant>
      <vt:variant>
        <vt:i4>1376310</vt:i4>
      </vt:variant>
      <vt:variant>
        <vt:i4>92</vt:i4>
      </vt:variant>
      <vt:variant>
        <vt:i4>0</vt:i4>
      </vt:variant>
      <vt:variant>
        <vt:i4>5</vt:i4>
      </vt:variant>
      <vt:variant>
        <vt:lpwstr/>
      </vt:variant>
      <vt:variant>
        <vt:lpwstr>_Toc339998509</vt:lpwstr>
      </vt:variant>
      <vt:variant>
        <vt:i4>1376310</vt:i4>
      </vt:variant>
      <vt:variant>
        <vt:i4>86</vt:i4>
      </vt:variant>
      <vt:variant>
        <vt:i4>0</vt:i4>
      </vt:variant>
      <vt:variant>
        <vt:i4>5</vt:i4>
      </vt:variant>
      <vt:variant>
        <vt:lpwstr/>
      </vt:variant>
      <vt:variant>
        <vt:lpwstr>_Toc339998508</vt:lpwstr>
      </vt:variant>
      <vt:variant>
        <vt:i4>1376310</vt:i4>
      </vt:variant>
      <vt:variant>
        <vt:i4>80</vt:i4>
      </vt:variant>
      <vt:variant>
        <vt:i4>0</vt:i4>
      </vt:variant>
      <vt:variant>
        <vt:i4>5</vt:i4>
      </vt:variant>
      <vt:variant>
        <vt:lpwstr/>
      </vt:variant>
      <vt:variant>
        <vt:lpwstr>_Toc339998507</vt:lpwstr>
      </vt:variant>
      <vt:variant>
        <vt:i4>1376310</vt:i4>
      </vt:variant>
      <vt:variant>
        <vt:i4>74</vt:i4>
      </vt:variant>
      <vt:variant>
        <vt:i4>0</vt:i4>
      </vt:variant>
      <vt:variant>
        <vt:i4>5</vt:i4>
      </vt:variant>
      <vt:variant>
        <vt:lpwstr/>
      </vt:variant>
      <vt:variant>
        <vt:lpwstr>_Toc339998506</vt:lpwstr>
      </vt:variant>
      <vt:variant>
        <vt:i4>1376310</vt:i4>
      </vt:variant>
      <vt:variant>
        <vt:i4>68</vt:i4>
      </vt:variant>
      <vt:variant>
        <vt:i4>0</vt:i4>
      </vt:variant>
      <vt:variant>
        <vt:i4>5</vt:i4>
      </vt:variant>
      <vt:variant>
        <vt:lpwstr/>
      </vt:variant>
      <vt:variant>
        <vt:lpwstr>_Toc339998505</vt:lpwstr>
      </vt:variant>
      <vt:variant>
        <vt:i4>1376310</vt:i4>
      </vt:variant>
      <vt:variant>
        <vt:i4>62</vt:i4>
      </vt:variant>
      <vt:variant>
        <vt:i4>0</vt:i4>
      </vt:variant>
      <vt:variant>
        <vt:i4>5</vt:i4>
      </vt:variant>
      <vt:variant>
        <vt:lpwstr/>
      </vt:variant>
      <vt:variant>
        <vt:lpwstr>_Toc339998504</vt:lpwstr>
      </vt:variant>
      <vt:variant>
        <vt:i4>1376310</vt:i4>
      </vt:variant>
      <vt:variant>
        <vt:i4>56</vt:i4>
      </vt:variant>
      <vt:variant>
        <vt:i4>0</vt:i4>
      </vt:variant>
      <vt:variant>
        <vt:i4>5</vt:i4>
      </vt:variant>
      <vt:variant>
        <vt:lpwstr/>
      </vt:variant>
      <vt:variant>
        <vt:lpwstr>_Toc339998503</vt:lpwstr>
      </vt:variant>
      <vt:variant>
        <vt:i4>1376310</vt:i4>
      </vt:variant>
      <vt:variant>
        <vt:i4>50</vt:i4>
      </vt:variant>
      <vt:variant>
        <vt:i4>0</vt:i4>
      </vt:variant>
      <vt:variant>
        <vt:i4>5</vt:i4>
      </vt:variant>
      <vt:variant>
        <vt:lpwstr/>
      </vt:variant>
      <vt:variant>
        <vt:lpwstr>_Toc339998502</vt:lpwstr>
      </vt:variant>
      <vt:variant>
        <vt:i4>1376310</vt:i4>
      </vt:variant>
      <vt:variant>
        <vt:i4>44</vt:i4>
      </vt:variant>
      <vt:variant>
        <vt:i4>0</vt:i4>
      </vt:variant>
      <vt:variant>
        <vt:i4>5</vt:i4>
      </vt:variant>
      <vt:variant>
        <vt:lpwstr/>
      </vt:variant>
      <vt:variant>
        <vt:lpwstr>_Toc339998501</vt:lpwstr>
      </vt:variant>
      <vt:variant>
        <vt:i4>1835063</vt:i4>
      </vt:variant>
      <vt:variant>
        <vt:i4>38</vt:i4>
      </vt:variant>
      <vt:variant>
        <vt:i4>0</vt:i4>
      </vt:variant>
      <vt:variant>
        <vt:i4>5</vt:i4>
      </vt:variant>
      <vt:variant>
        <vt:lpwstr/>
      </vt:variant>
      <vt:variant>
        <vt:lpwstr>_Toc339998499</vt:lpwstr>
      </vt:variant>
      <vt:variant>
        <vt:i4>1835063</vt:i4>
      </vt:variant>
      <vt:variant>
        <vt:i4>32</vt:i4>
      </vt:variant>
      <vt:variant>
        <vt:i4>0</vt:i4>
      </vt:variant>
      <vt:variant>
        <vt:i4>5</vt:i4>
      </vt:variant>
      <vt:variant>
        <vt:lpwstr/>
      </vt:variant>
      <vt:variant>
        <vt:lpwstr>_Toc339998498</vt:lpwstr>
      </vt:variant>
      <vt:variant>
        <vt:i4>1835063</vt:i4>
      </vt:variant>
      <vt:variant>
        <vt:i4>26</vt:i4>
      </vt:variant>
      <vt:variant>
        <vt:i4>0</vt:i4>
      </vt:variant>
      <vt:variant>
        <vt:i4>5</vt:i4>
      </vt:variant>
      <vt:variant>
        <vt:lpwstr/>
      </vt:variant>
      <vt:variant>
        <vt:lpwstr>_Toc339998497</vt:lpwstr>
      </vt:variant>
      <vt:variant>
        <vt:i4>1835063</vt:i4>
      </vt:variant>
      <vt:variant>
        <vt:i4>20</vt:i4>
      </vt:variant>
      <vt:variant>
        <vt:i4>0</vt:i4>
      </vt:variant>
      <vt:variant>
        <vt:i4>5</vt:i4>
      </vt:variant>
      <vt:variant>
        <vt:lpwstr/>
      </vt:variant>
      <vt:variant>
        <vt:lpwstr>_Toc339998496</vt:lpwstr>
      </vt:variant>
      <vt:variant>
        <vt:i4>1835063</vt:i4>
      </vt:variant>
      <vt:variant>
        <vt:i4>14</vt:i4>
      </vt:variant>
      <vt:variant>
        <vt:i4>0</vt:i4>
      </vt:variant>
      <vt:variant>
        <vt:i4>5</vt:i4>
      </vt:variant>
      <vt:variant>
        <vt:lpwstr/>
      </vt:variant>
      <vt:variant>
        <vt:lpwstr>_Toc339998495</vt:lpwstr>
      </vt:variant>
      <vt:variant>
        <vt:i4>1835063</vt:i4>
      </vt:variant>
      <vt:variant>
        <vt:i4>8</vt:i4>
      </vt:variant>
      <vt:variant>
        <vt:i4>0</vt:i4>
      </vt:variant>
      <vt:variant>
        <vt:i4>5</vt:i4>
      </vt:variant>
      <vt:variant>
        <vt:lpwstr/>
      </vt:variant>
      <vt:variant>
        <vt:lpwstr>_Toc339998494</vt:lpwstr>
      </vt:variant>
      <vt:variant>
        <vt:i4>1835063</vt:i4>
      </vt:variant>
      <vt:variant>
        <vt:i4>2</vt:i4>
      </vt:variant>
      <vt:variant>
        <vt:i4>0</vt:i4>
      </vt:variant>
      <vt:variant>
        <vt:i4>5</vt:i4>
      </vt:variant>
      <vt:variant>
        <vt:lpwstr/>
      </vt:variant>
      <vt:variant>
        <vt:lpwstr>_Toc339998493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Virginia</dc:creator>
  <cp:lastModifiedBy>Virginia Signal</cp:lastModifiedBy>
  <cp:revision>2</cp:revision>
  <dcterms:created xsi:type="dcterms:W3CDTF">2017-11-20T06:40:00Z</dcterms:created>
  <dcterms:modified xsi:type="dcterms:W3CDTF">2017-11-20T06:40:00Z</dcterms:modified>
</cp:coreProperties>
</file>