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Quattrocento Sans" w:cs="Quattrocento Sans" w:eastAsia="Quattrocento Sans" w:hAnsi="Quattrocento Sans"/>
          <w:b w:val="1"/>
          <w:i w:val="1"/>
          <w:color w:val="000000"/>
          <w:sz w:val="40"/>
          <w:szCs w:val="40"/>
        </w:rPr>
      </w:pPr>
      <w:r w:rsidDel="00000000" w:rsidR="00000000" w:rsidRPr="00000000">
        <w:rPr>
          <w:rtl w:val="0"/>
        </w:rPr>
      </w:r>
    </w:p>
    <w:p w:rsidR="00000000" w:rsidDel="00000000" w:rsidP="00000000" w:rsidRDefault="00000000" w:rsidRPr="00000000" w14:paraId="00000002">
      <w:pPr>
        <w:jc w:val="both"/>
        <w:rPr>
          <w:rFonts w:ascii="Quattrocento Sans" w:cs="Quattrocento Sans" w:eastAsia="Quattrocento Sans" w:hAnsi="Quattrocento Sans"/>
          <w:b w:val="1"/>
          <w:color w:val="000000"/>
          <w:sz w:val="40"/>
          <w:szCs w:val="40"/>
        </w:rPr>
      </w:pPr>
      <w:r w:rsidDel="00000000" w:rsidR="00000000" w:rsidRPr="00000000">
        <w:rPr>
          <w:rtl w:val="0"/>
        </w:rPr>
      </w:r>
    </w:p>
    <w:p w:rsidR="00000000" w:rsidDel="00000000" w:rsidP="00000000" w:rsidRDefault="00000000" w:rsidRPr="00000000" w14:paraId="00000003">
      <w:pPr>
        <w:jc w:val="both"/>
        <w:rPr>
          <w:rFonts w:ascii="Quattrocento Sans" w:cs="Quattrocento Sans" w:eastAsia="Quattrocento Sans" w:hAnsi="Quattrocento Sans"/>
          <w:b w:val="1"/>
          <w:color w:val="000000"/>
          <w:sz w:val="40"/>
          <w:szCs w:val="40"/>
        </w:rPr>
      </w:pPr>
      <w:r w:rsidDel="00000000" w:rsidR="00000000" w:rsidRPr="00000000">
        <w:rPr>
          <w:rtl w:val="0"/>
        </w:rPr>
      </w:r>
    </w:p>
    <w:p w:rsidR="00000000" w:rsidDel="00000000" w:rsidP="00000000" w:rsidRDefault="00000000" w:rsidRPr="00000000" w14:paraId="00000004">
      <w:pPr>
        <w:jc w:val="both"/>
        <w:rPr>
          <w:rFonts w:ascii="Quattrocento Sans" w:cs="Quattrocento Sans" w:eastAsia="Quattrocento Sans" w:hAnsi="Quattrocento Sans"/>
          <w:b w:val="1"/>
          <w:color w:val="000000"/>
          <w:sz w:val="40"/>
          <w:szCs w:val="40"/>
        </w:rPr>
      </w:pPr>
      <w:r w:rsidDel="00000000" w:rsidR="00000000" w:rsidRPr="00000000">
        <w:rPr>
          <w:rtl w:val="0"/>
        </w:rPr>
      </w:r>
    </w:p>
    <w:p w:rsidR="00000000" w:rsidDel="00000000" w:rsidP="00000000" w:rsidRDefault="00000000" w:rsidRPr="00000000" w14:paraId="00000005">
      <w:pPr>
        <w:jc w:val="center"/>
        <w:rPr>
          <w:rFonts w:ascii="Quattrocento Sans" w:cs="Quattrocento Sans" w:eastAsia="Quattrocento Sans" w:hAnsi="Quattrocento Sans"/>
          <w:b w:val="1"/>
          <w:color w:val="1f3864"/>
          <w:sz w:val="40"/>
          <w:szCs w:val="40"/>
        </w:rPr>
      </w:pPr>
      <w:r w:rsidDel="00000000" w:rsidR="00000000" w:rsidRPr="00000000">
        <w:rPr>
          <w:rtl w:val="0"/>
        </w:rPr>
      </w:r>
    </w:p>
    <w:p w:rsidR="00000000" w:rsidDel="00000000" w:rsidP="00000000" w:rsidRDefault="00000000" w:rsidRPr="00000000" w14:paraId="00000006">
      <w:pPr>
        <w:jc w:val="center"/>
        <w:rPr>
          <w:rFonts w:ascii="Quattrocento Sans" w:cs="Quattrocento Sans" w:eastAsia="Quattrocento Sans" w:hAnsi="Quattrocento Sans"/>
          <w:b w:val="1"/>
          <w:sz w:val="40"/>
          <w:szCs w:val="40"/>
        </w:rPr>
      </w:pPr>
      <w:bookmarkStart w:colFirst="0" w:colLast="0" w:name="_heading=h.ftoor3iygc2c" w:id="0"/>
      <w:bookmarkEnd w:id="0"/>
      <w:r w:rsidDel="00000000" w:rsidR="00000000" w:rsidRPr="00000000">
        <w:rPr>
          <w:rFonts w:ascii="Quattrocento Sans" w:cs="Quattrocento Sans" w:eastAsia="Quattrocento Sans" w:hAnsi="Quattrocento Sans"/>
          <w:b w:val="1"/>
          <w:sz w:val="40"/>
          <w:szCs w:val="40"/>
          <w:rtl w:val="0"/>
        </w:rPr>
        <w:t xml:space="preserve">TŌ WAHA NGUTU KĀKĀ</w:t>
      </w:r>
    </w:p>
    <w:p w:rsidR="00000000" w:rsidDel="00000000" w:rsidP="00000000" w:rsidRDefault="00000000" w:rsidRPr="00000000" w14:paraId="00000007">
      <w:pPr>
        <w:jc w:val="center"/>
        <w:rPr>
          <w:rFonts w:ascii="Quattrocento Sans" w:cs="Quattrocento Sans" w:eastAsia="Quattrocento Sans" w:hAnsi="Quattrocento Sans"/>
          <w:b w:val="1"/>
          <w:sz w:val="40"/>
          <w:szCs w:val="40"/>
        </w:rPr>
      </w:pPr>
      <w:r w:rsidDel="00000000" w:rsidR="00000000" w:rsidRPr="00000000">
        <w:rPr>
          <w:rtl w:val="0"/>
        </w:rPr>
      </w:r>
    </w:p>
    <w:p w:rsidR="00000000" w:rsidDel="00000000" w:rsidP="00000000" w:rsidRDefault="00000000" w:rsidRPr="00000000" w14:paraId="00000008">
      <w:pPr>
        <w:jc w:val="center"/>
        <w:rPr>
          <w:rFonts w:ascii="Quattrocento Sans" w:cs="Quattrocento Sans" w:eastAsia="Quattrocento Sans" w:hAnsi="Quattrocento Sans"/>
          <w:b w:val="1"/>
          <w:color w:val="1f3864"/>
          <w:sz w:val="72"/>
          <w:szCs w:val="72"/>
        </w:rPr>
      </w:pPr>
      <w:r w:rsidDel="00000000" w:rsidR="00000000" w:rsidRPr="00000000">
        <w:rPr>
          <w:rFonts w:ascii="Quattrocento Sans" w:cs="Quattrocento Sans" w:eastAsia="Quattrocento Sans" w:hAnsi="Quattrocento Sans"/>
          <w:b w:val="1"/>
          <w:color w:val="1f3864"/>
          <w:sz w:val="72"/>
          <w:szCs w:val="72"/>
          <w:rtl w:val="0"/>
        </w:rPr>
        <w:t xml:space="preserve">National Māori Oral Health Equity Action Plan </w:t>
        <w:br w:type="textWrapping"/>
        <w:t xml:space="preserve">2020-2023</w:t>
      </w:r>
    </w:p>
    <w:p w:rsidR="00000000" w:rsidDel="00000000" w:rsidP="00000000" w:rsidRDefault="00000000" w:rsidRPr="00000000" w14:paraId="00000009">
      <w:pPr>
        <w:jc w:val="both"/>
        <w:rPr>
          <w:rFonts w:ascii="Quattrocento Sans" w:cs="Quattrocento Sans" w:eastAsia="Quattrocento Sans" w:hAnsi="Quattrocento Sans"/>
          <w:b w:val="1"/>
          <w:sz w:val="32"/>
          <w:szCs w:val="32"/>
        </w:rPr>
      </w:pPr>
      <w:r w:rsidDel="00000000" w:rsidR="00000000" w:rsidRPr="00000000">
        <w:rPr>
          <w:rtl w:val="0"/>
        </w:rPr>
      </w:r>
    </w:p>
    <w:p w:rsidR="00000000" w:rsidDel="00000000" w:rsidP="00000000" w:rsidRDefault="00000000" w:rsidRPr="00000000" w14:paraId="0000000A">
      <w:pPr>
        <w:jc w:val="both"/>
        <w:rPr>
          <w:rFonts w:ascii="Quattrocento Sans" w:cs="Quattrocento Sans" w:eastAsia="Quattrocento Sans" w:hAnsi="Quattrocento Sans"/>
          <w:b w:val="1"/>
          <w:color w:val="000000"/>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0B">
      <w:pPr>
        <w:jc w:val="both"/>
        <w:rPr>
          <w:rFonts w:ascii="Quattrocento Sans" w:cs="Quattrocento Sans" w:eastAsia="Quattrocento Sans" w:hAnsi="Quattrocento Sans"/>
          <w:b w:val="1"/>
          <w:color w:val="1f3864"/>
          <w:sz w:val="40"/>
          <w:szCs w:val="40"/>
        </w:rPr>
      </w:pPr>
      <w:bookmarkStart w:colFirst="0" w:colLast="0" w:name="_heading=h.vcsrswnugxsn" w:id="1"/>
      <w:bookmarkEnd w:id="1"/>
      <w:r w:rsidDel="00000000" w:rsidR="00000000" w:rsidRPr="00000000">
        <w:rPr>
          <w:rFonts w:ascii="Quattrocento Sans" w:cs="Quattrocento Sans" w:eastAsia="Quattrocento Sans" w:hAnsi="Quattrocento Sans"/>
          <w:b w:val="1"/>
          <w:color w:val="1f3864"/>
          <w:sz w:val="40"/>
          <w:szCs w:val="40"/>
          <w:rtl w:val="0"/>
        </w:rPr>
        <w:t xml:space="preserve">Acknowledgements</w:t>
      </w:r>
    </w:p>
    <w:p w:rsidR="00000000" w:rsidDel="00000000" w:rsidP="00000000" w:rsidRDefault="00000000" w:rsidRPr="00000000" w14:paraId="0000000C">
      <w:pP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0D">
      <w:pPr>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Te Rōpū Niho Ora acknowledge all those that have contributed to the development of this plan.  The sector Think Tank and wider sector stakeholders that generated the initial foundations of an oral health equity matrix, and the Māori oral health equity symposium participants that helped shape the matrix into this action plan. </w:t>
      </w:r>
    </w:p>
    <w:p w:rsidR="00000000" w:rsidDel="00000000" w:rsidP="00000000" w:rsidRDefault="00000000" w:rsidRPr="00000000" w14:paraId="0000000E">
      <w:pPr>
        <w:jc w:val="both"/>
        <w:rPr>
          <w:rFonts w:ascii="Quattrocento Sans" w:cs="Quattrocento Sans" w:eastAsia="Quattrocento Sans" w:hAnsi="Quattrocento Sans"/>
          <w:sz w:val="22"/>
          <w:szCs w:val="22"/>
        </w:rPr>
      </w:pPr>
      <w:r w:rsidDel="00000000" w:rsidR="00000000" w:rsidRPr="00000000">
        <w:rPr>
          <w:rtl w:val="0"/>
        </w:rPr>
      </w:r>
    </w:p>
    <w:p w:rsidR="00000000" w:rsidDel="00000000" w:rsidP="00000000" w:rsidRDefault="00000000" w:rsidRPr="00000000" w14:paraId="0000000F">
      <w:pPr>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A special mihi to the expert advisory group: Kathy Fuge (Hutt Valley District Health Board), Louise Signal (University of Otago Wellington), Bridget Robson (Te Rōpū Rangahau Māori a Eru Pomare), Teresa Wall (Māori health expert), Cheryl Britton (Te Hiku Hauora), and Moira Smith (University of Otago Wellington).  </w:t>
      </w:r>
    </w:p>
    <w:p w:rsidR="00000000" w:rsidDel="00000000" w:rsidP="00000000" w:rsidRDefault="00000000" w:rsidRPr="00000000" w14:paraId="00000010">
      <w:pPr>
        <w:jc w:val="both"/>
        <w:rPr>
          <w:rFonts w:ascii="Quattrocento Sans" w:cs="Quattrocento Sans" w:eastAsia="Quattrocento Sans" w:hAnsi="Quattrocento Sans"/>
          <w:sz w:val="22"/>
          <w:szCs w:val="22"/>
        </w:rPr>
      </w:pPr>
      <w:r w:rsidDel="00000000" w:rsidR="00000000" w:rsidRPr="00000000">
        <w:rPr>
          <w:rtl w:val="0"/>
        </w:rPr>
      </w:r>
    </w:p>
    <w:p w:rsidR="00000000" w:rsidDel="00000000" w:rsidP="00000000" w:rsidRDefault="00000000" w:rsidRPr="00000000" w14:paraId="00000011">
      <w:pPr>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Nā koutou te hohonutanga o ngā korero hei hāpai te hauora kia whai te mana taurite mō te iwi Māori.  </w:t>
      </w:r>
    </w:p>
    <w:p w:rsidR="00000000" w:rsidDel="00000000" w:rsidP="00000000" w:rsidRDefault="00000000" w:rsidRPr="00000000" w14:paraId="00000012">
      <w:pPr>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 </w:t>
      </w:r>
    </w:p>
    <w:p w:rsidR="00000000" w:rsidDel="00000000" w:rsidP="00000000" w:rsidRDefault="00000000" w:rsidRPr="00000000" w14:paraId="00000013">
      <w:pPr>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Ka pū te ruha, ka hao te rangatahi. </w:t>
      </w:r>
    </w:p>
    <w:p w:rsidR="00000000" w:rsidDel="00000000" w:rsidP="00000000" w:rsidRDefault="00000000" w:rsidRPr="00000000" w14:paraId="00000014">
      <w:pPr>
        <w:jc w:val="both"/>
        <w:rPr>
          <w:rFonts w:ascii="Quattrocento Sans" w:cs="Quattrocento Sans" w:eastAsia="Quattrocento Sans" w:hAnsi="Quattrocento Sans"/>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194114</wp:posOffset>
            </wp:positionV>
            <wp:extent cx="623191" cy="695732"/>
            <wp:effectExtent b="0" l="0" r="0" t="0"/>
            <wp:wrapNone/>
            <wp:docPr descr="C:\Users\User\AppData\Local\Microsoft\Windows\INetCache\Content.Word\JGWSIGN (2).png" id="14" name="image1.png"/>
            <a:graphic>
              <a:graphicData uri="http://schemas.openxmlformats.org/drawingml/2006/picture">
                <pic:pic>
                  <pic:nvPicPr>
                    <pic:cNvPr descr="C:\Users\User\AppData\Local\Microsoft\Windows\INetCache\Content.Word\JGWSIGN (2).png" id="0" name="image1.png"/>
                    <pic:cNvPicPr preferRelativeResize="0"/>
                  </pic:nvPicPr>
                  <pic:blipFill>
                    <a:blip r:embed="rId8"/>
                    <a:srcRect b="0" l="0" r="0" t="0"/>
                    <a:stretch>
                      <a:fillRect/>
                    </a:stretch>
                  </pic:blipFill>
                  <pic:spPr>
                    <a:xfrm>
                      <a:off x="0" y="0"/>
                      <a:ext cx="623191" cy="695732"/>
                    </a:xfrm>
                    <a:prstGeom prst="rect"/>
                    <a:ln/>
                  </pic:spPr>
                </pic:pic>
              </a:graphicData>
            </a:graphic>
          </wp:anchor>
        </w:drawing>
      </w:r>
    </w:p>
    <w:p w:rsidR="00000000" w:rsidDel="00000000" w:rsidP="00000000" w:rsidRDefault="00000000" w:rsidRPr="00000000" w14:paraId="00000015">
      <w:pPr>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16">
      <w:pPr>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17">
      <w:pPr>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18">
      <w:pPr>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19">
      <w:pPr>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Justin Wall</w:t>
      </w:r>
    </w:p>
    <w:p w:rsidR="00000000" w:rsidDel="00000000" w:rsidP="00000000" w:rsidRDefault="00000000" w:rsidRPr="00000000" w14:paraId="0000001A">
      <w:pPr>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Chair, Te Rōpū Niho Ora</w:t>
      </w:r>
    </w:p>
    <w:p w:rsidR="00000000" w:rsidDel="00000000" w:rsidP="00000000" w:rsidRDefault="00000000" w:rsidRPr="00000000" w14:paraId="0000001B">
      <w:pPr>
        <w:rPr>
          <w:rFonts w:ascii="Quattrocento Sans" w:cs="Quattrocento Sans" w:eastAsia="Quattrocento Sans" w:hAnsi="Quattrocento Sans"/>
          <w:b w:val="1"/>
          <w:color w:val="000000"/>
          <w:sz w:val="40"/>
          <w:szCs w:val="40"/>
        </w:rPr>
      </w:pPr>
      <w:r w:rsidDel="00000000" w:rsidR="00000000" w:rsidRPr="00000000">
        <w:rPr>
          <w:rtl w:val="0"/>
        </w:rPr>
      </w:r>
    </w:p>
    <w:p w:rsidR="00000000" w:rsidDel="00000000" w:rsidP="00000000" w:rsidRDefault="00000000" w:rsidRPr="00000000" w14:paraId="0000001C">
      <w:pPr>
        <w:rPr>
          <w:rFonts w:ascii="Quattrocento Sans" w:cs="Quattrocento Sans" w:eastAsia="Quattrocento Sans" w:hAnsi="Quattrocento Sans"/>
          <w:b w:val="1"/>
          <w:color w:val="000000"/>
          <w:sz w:val="40"/>
          <w:szCs w:val="40"/>
        </w:rPr>
      </w:pPr>
      <w:r w:rsidDel="00000000" w:rsidR="00000000" w:rsidRPr="00000000">
        <w:rPr>
          <w:rtl w:val="0"/>
        </w:rPr>
      </w:r>
    </w:p>
    <w:p w:rsidR="00000000" w:rsidDel="00000000" w:rsidP="00000000" w:rsidRDefault="00000000" w:rsidRPr="00000000" w14:paraId="0000001D">
      <w:pPr>
        <w:rPr>
          <w:rFonts w:ascii="Quattrocento Sans" w:cs="Quattrocento Sans" w:eastAsia="Quattrocento Sans" w:hAnsi="Quattrocento Sans"/>
          <w:b w:val="1"/>
          <w:color w:val="000000"/>
          <w:sz w:val="40"/>
          <w:szCs w:val="40"/>
        </w:rPr>
      </w:pPr>
      <w:r w:rsidDel="00000000" w:rsidR="00000000" w:rsidRPr="00000000">
        <w:rPr>
          <w:rtl w:val="0"/>
        </w:rPr>
      </w:r>
    </w:p>
    <w:p w:rsidR="00000000" w:rsidDel="00000000" w:rsidP="00000000" w:rsidRDefault="00000000" w:rsidRPr="00000000" w14:paraId="0000001E">
      <w:pPr>
        <w:rPr>
          <w:rFonts w:ascii="Quattrocento Sans" w:cs="Quattrocento Sans" w:eastAsia="Quattrocento Sans" w:hAnsi="Quattrocento Sans"/>
          <w:b w:val="1"/>
          <w:color w:val="000000"/>
          <w:sz w:val="40"/>
          <w:szCs w:val="40"/>
        </w:rPr>
      </w:pPr>
      <w:r w:rsidDel="00000000" w:rsidR="00000000" w:rsidRPr="00000000">
        <w:rPr>
          <w:rtl w:val="0"/>
        </w:rPr>
      </w:r>
    </w:p>
    <w:p w:rsidR="00000000" w:rsidDel="00000000" w:rsidP="00000000" w:rsidRDefault="00000000" w:rsidRPr="00000000" w14:paraId="0000001F">
      <w:pPr>
        <w:rPr>
          <w:rFonts w:ascii="Quattrocento Sans" w:cs="Quattrocento Sans" w:eastAsia="Quattrocento Sans" w:hAnsi="Quattrocento Sans"/>
          <w:b w:val="1"/>
          <w:color w:val="000000"/>
          <w:sz w:val="40"/>
          <w:szCs w:val="40"/>
        </w:rPr>
      </w:pPr>
      <w:r w:rsidDel="00000000" w:rsidR="00000000" w:rsidRPr="00000000">
        <w:rPr>
          <w:rtl w:val="0"/>
        </w:rPr>
      </w:r>
    </w:p>
    <w:p w:rsidR="00000000" w:rsidDel="00000000" w:rsidP="00000000" w:rsidRDefault="00000000" w:rsidRPr="00000000" w14:paraId="00000020">
      <w:pPr>
        <w:rPr>
          <w:rFonts w:ascii="Quattrocento Sans" w:cs="Quattrocento Sans" w:eastAsia="Quattrocento Sans" w:hAnsi="Quattrocento Sans"/>
          <w:b w:val="1"/>
          <w:color w:val="000000"/>
          <w:sz w:val="40"/>
          <w:szCs w:val="40"/>
        </w:rPr>
      </w:pPr>
      <w:r w:rsidDel="00000000" w:rsidR="00000000" w:rsidRPr="00000000">
        <w:rPr>
          <w:rtl w:val="0"/>
        </w:rPr>
      </w:r>
    </w:p>
    <w:p w:rsidR="00000000" w:rsidDel="00000000" w:rsidP="00000000" w:rsidRDefault="00000000" w:rsidRPr="00000000" w14:paraId="00000021">
      <w:pPr>
        <w:rPr>
          <w:rFonts w:ascii="Quattrocento Sans" w:cs="Quattrocento Sans" w:eastAsia="Quattrocento Sans" w:hAnsi="Quattrocento Sans"/>
          <w:b w:val="1"/>
          <w:color w:val="000000"/>
          <w:sz w:val="40"/>
          <w:szCs w:val="40"/>
        </w:rPr>
      </w:pPr>
      <w:r w:rsidDel="00000000" w:rsidR="00000000" w:rsidRPr="00000000">
        <w:rPr>
          <w:rtl w:val="0"/>
        </w:rPr>
      </w:r>
    </w:p>
    <w:p w:rsidR="00000000" w:rsidDel="00000000" w:rsidP="00000000" w:rsidRDefault="00000000" w:rsidRPr="00000000" w14:paraId="00000022">
      <w:pPr>
        <w:rPr>
          <w:rFonts w:ascii="Quattrocento Sans" w:cs="Quattrocento Sans" w:eastAsia="Quattrocento Sans" w:hAnsi="Quattrocento Sans"/>
          <w:b w:val="1"/>
          <w:color w:val="000000"/>
          <w:sz w:val="40"/>
          <w:szCs w:val="40"/>
        </w:rPr>
      </w:pPr>
      <w:r w:rsidDel="00000000" w:rsidR="00000000" w:rsidRPr="00000000">
        <w:rPr>
          <w:rtl w:val="0"/>
        </w:rPr>
      </w:r>
    </w:p>
    <w:p w:rsidR="00000000" w:rsidDel="00000000" w:rsidP="00000000" w:rsidRDefault="00000000" w:rsidRPr="00000000" w14:paraId="00000023">
      <w:pPr>
        <w:rPr>
          <w:rFonts w:ascii="Quattrocento Sans" w:cs="Quattrocento Sans" w:eastAsia="Quattrocento Sans" w:hAnsi="Quattrocento Sans"/>
          <w:b w:val="1"/>
          <w:color w:val="000000"/>
          <w:sz w:val="40"/>
          <w:szCs w:val="40"/>
        </w:rPr>
      </w:pPr>
      <w:r w:rsidDel="00000000" w:rsidR="00000000" w:rsidRPr="00000000">
        <w:rPr>
          <w:rtl w:val="0"/>
        </w:rPr>
      </w:r>
    </w:p>
    <w:p w:rsidR="00000000" w:rsidDel="00000000" w:rsidP="00000000" w:rsidRDefault="00000000" w:rsidRPr="00000000" w14:paraId="00000024">
      <w:pPr>
        <w:rPr>
          <w:rFonts w:ascii="Quattrocento Sans" w:cs="Quattrocento Sans" w:eastAsia="Quattrocento Sans" w:hAnsi="Quattrocento Sans"/>
          <w:b w:val="1"/>
          <w:color w:val="000000"/>
          <w:sz w:val="40"/>
          <w:szCs w:val="40"/>
        </w:rPr>
      </w:pPr>
      <w:r w:rsidDel="00000000" w:rsidR="00000000" w:rsidRPr="00000000">
        <w:rPr>
          <w:rtl w:val="0"/>
        </w:rPr>
      </w:r>
    </w:p>
    <w:p w:rsidR="00000000" w:rsidDel="00000000" w:rsidP="00000000" w:rsidRDefault="00000000" w:rsidRPr="00000000" w14:paraId="00000025">
      <w:pPr>
        <w:rPr>
          <w:rFonts w:ascii="Quattrocento Sans" w:cs="Quattrocento Sans" w:eastAsia="Quattrocento Sans" w:hAnsi="Quattrocento Sans"/>
          <w:b w:val="1"/>
          <w:color w:val="000000"/>
          <w:sz w:val="40"/>
          <w:szCs w:val="40"/>
        </w:rPr>
      </w:pPr>
      <w:r w:rsidDel="00000000" w:rsidR="00000000" w:rsidRPr="00000000">
        <w:rPr>
          <w:rtl w:val="0"/>
        </w:rPr>
      </w:r>
    </w:p>
    <w:p w:rsidR="00000000" w:rsidDel="00000000" w:rsidP="00000000" w:rsidRDefault="00000000" w:rsidRPr="00000000" w14:paraId="00000026">
      <w:pPr>
        <w:jc w:val="both"/>
        <w:rPr>
          <w:rFonts w:ascii="Quattrocento Sans" w:cs="Quattrocento Sans" w:eastAsia="Quattrocento Sans" w:hAnsi="Quattrocento Sans"/>
          <w:color w:val="000000"/>
          <w:sz w:val="40"/>
          <w:szCs w:val="40"/>
        </w:rPr>
      </w:pPr>
      <w:r w:rsidDel="00000000" w:rsidR="00000000" w:rsidRPr="00000000">
        <w:rPr>
          <w:rFonts w:ascii="Quattrocento Sans" w:cs="Quattrocento Sans" w:eastAsia="Quattrocento Sans" w:hAnsi="Quattrocento Sans"/>
          <w:sz w:val="22"/>
          <w:szCs w:val="22"/>
          <w:rtl w:val="0"/>
        </w:rPr>
        <w:t xml:space="preserve">Suggested citation: Te Rōpū Niho Ora. (2019). </w:t>
      </w:r>
      <w:r w:rsidDel="00000000" w:rsidR="00000000" w:rsidRPr="00000000">
        <w:rPr>
          <w:rFonts w:ascii="Quattrocento Sans" w:cs="Quattrocento Sans" w:eastAsia="Quattrocento Sans" w:hAnsi="Quattrocento Sans"/>
          <w:i w:val="1"/>
          <w:sz w:val="22"/>
          <w:szCs w:val="22"/>
          <w:rtl w:val="0"/>
        </w:rPr>
        <w:t xml:space="preserve">Māori Oral Health Equity Action Plan 2020 – 2023</w:t>
      </w:r>
      <w:r w:rsidDel="00000000" w:rsidR="00000000" w:rsidRPr="00000000">
        <w:rPr>
          <w:rFonts w:ascii="Quattrocento Sans" w:cs="Quattrocento Sans" w:eastAsia="Quattrocento Sans" w:hAnsi="Quattrocento Sans"/>
          <w:sz w:val="22"/>
          <w:szCs w:val="22"/>
          <w:rtl w:val="0"/>
        </w:rPr>
        <w:t xml:space="preserve">. Wellington. Aotearoa New Zealand. </w:t>
      </w:r>
      <w:r w:rsidDel="00000000" w:rsidR="00000000" w:rsidRPr="00000000">
        <w:br w:type="page"/>
      </w:r>
      <w:r w:rsidDel="00000000" w:rsidR="00000000" w:rsidRPr="00000000">
        <w:rPr>
          <w:rtl w:val="0"/>
        </w:rPr>
      </w:r>
    </w:p>
    <w:p w:rsidR="00000000" w:rsidDel="00000000" w:rsidP="00000000" w:rsidRDefault="00000000" w:rsidRPr="00000000" w14:paraId="00000027">
      <w:pPr>
        <w:jc w:val="both"/>
        <w:rPr>
          <w:rFonts w:ascii="Quattrocento Sans" w:cs="Quattrocento Sans" w:eastAsia="Quattrocento Sans" w:hAnsi="Quattrocento Sans"/>
          <w:color w:val="000000"/>
          <w:sz w:val="22"/>
          <w:szCs w:val="22"/>
        </w:rPr>
      </w:pPr>
      <w:bookmarkStart w:colFirst="0" w:colLast="0" w:name="_heading=h.rhto8hutyui1" w:id="2"/>
      <w:bookmarkEnd w:id="2"/>
      <w:r w:rsidDel="00000000" w:rsidR="00000000" w:rsidRPr="00000000">
        <w:rPr>
          <w:rFonts w:ascii="Quattrocento Sans" w:cs="Quattrocento Sans" w:eastAsia="Quattrocento Sans" w:hAnsi="Quattrocento Sans"/>
          <w:b w:val="1"/>
          <w:color w:val="1f3864"/>
          <w:sz w:val="40"/>
          <w:szCs w:val="40"/>
          <w:rtl w:val="0"/>
        </w:rPr>
        <w:t xml:space="preserve">Contents</w:t>
      </w:r>
      <w:r w:rsidDel="00000000" w:rsidR="00000000" w:rsidRPr="00000000">
        <w:rPr>
          <w:rFonts w:ascii="Quattrocento Sans" w:cs="Quattrocento Sans" w:eastAsia="Quattrocento Sans" w:hAnsi="Quattrocento Sans"/>
          <w:color w:val="000000"/>
          <w:sz w:val="22"/>
          <w:szCs w:val="22"/>
          <w:rtl w:val="0"/>
        </w:rPr>
        <w:t xml:space="preserve"> </w:t>
      </w:r>
    </w:p>
    <w:p w:rsidR="00000000" w:rsidDel="00000000" w:rsidP="00000000" w:rsidRDefault="00000000" w:rsidRPr="00000000" w14:paraId="0000002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Quattrocento Sans" w:cs="Quattrocento Sans" w:eastAsia="Quattrocento Sans" w:hAnsi="Quattrocento Sans"/>
          <w:b w:val="0"/>
          <w:i w:val="0"/>
          <w:smallCaps w:val="0"/>
          <w:strike w:val="0"/>
          <w:color w:val="44546a"/>
          <w:sz w:val="32"/>
          <w:szCs w:val="32"/>
          <w:u w:val="none"/>
          <w:shd w:fill="auto" w:val="clear"/>
          <w:vertAlign w:val="baseline"/>
        </w:rPr>
      </w:pPr>
      <w:r w:rsidDel="00000000" w:rsidR="00000000" w:rsidRPr="00000000">
        <w:rPr>
          <w:rtl w:val="0"/>
        </w:rPr>
      </w:r>
    </w:p>
    <w:sdt>
      <w:sdtPr>
        <w:id w:val="-1315568750"/>
        <w:docPartObj>
          <w:docPartGallery w:val="Table of Contents"/>
          <w:docPartUnique w:val="1"/>
        </w:docPartObj>
      </w:sdtPr>
      <w:sdtContent>
        <w:p w:rsidR="00000000" w:rsidDel="00000000" w:rsidP="00000000" w:rsidRDefault="00000000" w:rsidRPr="00000000" w14:paraId="00000029">
          <w:pPr>
            <w:keepNext w:val="0"/>
            <w:keepLines w:val="0"/>
            <w:pageBreakBefore w:val="0"/>
            <w:widowControl w:val="0"/>
            <w:pBdr>
              <w:top w:color="1d9759" w:space="1" w:sz="4" w:val="single"/>
              <w:left w:space="0" w:sz="0" w:val="nil"/>
              <w:bottom w:color="1d9759" w:space="1" w:sz="4" w:val="single"/>
              <w:right w:space="0" w:sz="0" w:val="nil"/>
              <w:between w:color="1d9759" w:space="1" w:sz="4" w:val="single"/>
            </w:pBdr>
            <w:shd w:fill="auto" w:val="clear"/>
            <w:tabs>
              <w:tab w:val="right" w:leader="dot" w:pos="9010"/>
            </w:tabs>
            <w:spacing w:after="180" w:before="180" w:line="240" w:lineRule="auto"/>
            <w:ind w:left="1134" w:right="0" w:firstLine="0"/>
            <w:jc w:val="left"/>
            <w:rPr>
              <w:rFonts w:ascii="Quattrocento Sans" w:cs="Quattrocento Sans" w:eastAsia="Quattrocento Sans" w:hAnsi="Quattrocento Sans"/>
              <w:b w:val="0"/>
              <w:i w:val="0"/>
              <w:smallCaps w:val="0"/>
              <w:strike w:val="0"/>
              <w:color w:val="44546a"/>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ftoor3iygc2c">
            <w:r w:rsidDel="00000000" w:rsidR="00000000" w:rsidRPr="00000000">
              <w:rPr>
                <w:rFonts w:ascii="Quattrocento Sans" w:cs="Quattrocento Sans" w:eastAsia="Quattrocento Sans" w:hAnsi="Quattrocento Sans"/>
                <w:b w:val="1"/>
                <w:i w:val="0"/>
                <w:smallCaps w:val="0"/>
                <w:strike w:val="0"/>
                <w:color w:val="44546a"/>
                <w:sz w:val="21"/>
                <w:szCs w:val="21"/>
                <w:u w:val="none"/>
                <w:shd w:fill="auto" w:val="clear"/>
                <w:vertAlign w:val="baseline"/>
                <w:rtl w:val="0"/>
              </w:rPr>
              <w:t xml:space="preserve">National Māori Oral Health Equity Action Plan  2020-2023</w:t>
            </w:r>
          </w:hyperlink>
          <w:hyperlink w:anchor="_heading=h.ftoor3iygc2c">
            <w:r w:rsidDel="00000000" w:rsidR="00000000" w:rsidRPr="00000000">
              <w:rPr>
                <w:rFonts w:ascii="Quattrocento Sans" w:cs="Quattrocento Sans" w:eastAsia="Quattrocento Sans" w:hAnsi="Quattrocento Sans"/>
                <w:b w:val="0"/>
                <w:i w:val="0"/>
                <w:smallCaps w:val="0"/>
                <w:strike w:val="0"/>
                <w:color w:val="44546a"/>
                <w:sz w:val="21"/>
                <w:szCs w:val="21"/>
                <w:u w:val="none"/>
                <w:shd w:fill="auto" w:val="clear"/>
                <w:vertAlign w:val="baseline"/>
                <w:rtl w:val="0"/>
              </w:rPr>
              <w:tab/>
              <w:t xml:space="preserve">1</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color="1d9759" w:space="1" w:sz="4" w:val="single"/>
              <w:left w:space="0" w:sz="0" w:val="nil"/>
              <w:bottom w:color="1d9759" w:space="1" w:sz="4" w:val="single"/>
              <w:right w:space="0" w:sz="0" w:val="nil"/>
              <w:between w:color="1d9759" w:space="1" w:sz="4" w:val="single"/>
            </w:pBdr>
            <w:shd w:fill="auto" w:val="clear"/>
            <w:tabs>
              <w:tab w:val="right" w:leader="dot" w:pos="9010"/>
            </w:tabs>
            <w:spacing w:after="180" w:before="180" w:line="240" w:lineRule="auto"/>
            <w:ind w:left="1134" w:right="0" w:firstLine="0"/>
            <w:jc w:val="left"/>
            <w:rPr>
              <w:rFonts w:ascii="Quattrocento Sans" w:cs="Quattrocento Sans" w:eastAsia="Quattrocento Sans" w:hAnsi="Quattrocento Sans"/>
              <w:b w:val="0"/>
              <w:i w:val="0"/>
              <w:smallCaps w:val="0"/>
              <w:strike w:val="0"/>
              <w:color w:val="44546a"/>
              <w:sz w:val="22"/>
              <w:szCs w:val="22"/>
              <w:u w:val="none"/>
              <w:shd w:fill="auto" w:val="clear"/>
              <w:vertAlign w:val="baseline"/>
            </w:rPr>
          </w:pPr>
          <w:hyperlink w:anchor="_heading=h.vcsrswnugxsn">
            <w:r w:rsidDel="00000000" w:rsidR="00000000" w:rsidRPr="00000000">
              <w:rPr>
                <w:rFonts w:ascii="Quattrocento Sans" w:cs="Quattrocento Sans" w:eastAsia="Quattrocento Sans" w:hAnsi="Quattrocento Sans"/>
                <w:b w:val="1"/>
                <w:i w:val="0"/>
                <w:smallCaps w:val="0"/>
                <w:strike w:val="0"/>
                <w:color w:val="44546a"/>
                <w:sz w:val="21"/>
                <w:szCs w:val="21"/>
                <w:u w:val="none"/>
                <w:shd w:fill="auto" w:val="clear"/>
                <w:vertAlign w:val="baseline"/>
                <w:rtl w:val="0"/>
              </w:rPr>
              <w:t xml:space="preserve">Acknowledgements</w:t>
            </w:r>
          </w:hyperlink>
          <w:hyperlink w:anchor="_heading=h.vcsrswnugxsn">
            <w:r w:rsidDel="00000000" w:rsidR="00000000" w:rsidRPr="00000000">
              <w:rPr>
                <w:rFonts w:ascii="Quattrocento Sans" w:cs="Quattrocento Sans" w:eastAsia="Quattrocento Sans" w:hAnsi="Quattrocento Sans"/>
                <w:b w:val="0"/>
                <w:i w:val="0"/>
                <w:smallCaps w:val="0"/>
                <w:strike w:val="0"/>
                <w:color w:val="44546a"/>
                <w:sz w:val="21"/>
                <w:szCs w:val="21"/>
                <w:u w:val="none"/>
                <w:shd w:fill="auto" w:val="clear"/>
                <w:vertAlign w:val="baseline"/>
                <w:rtl w:val="0"/>
              </w:rPr>
              <w:tab/>
              <w:t xml:space="preserve">2</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color="1d9759" w:space="1" w:sz="4" w:val="single"/>
              <w:left w:space="0" w:sz="0" w:val="nil"/>
              <w:bottom w:color="1d9759" w:space="1" w:sz="4" w:val="single"/>
              <w:right w:space="0" w:sz="0" w:val="nil"/>
              <w:between w:color="1d9759" w:space="1" w:sz="4" w:val="single"/>
            </w:pBdr>
            <w:shd w:fill="auto" w:val="clear"/>
            <w:tabs>
              <w:tab w:val="right" w:leader="dot" w:pos="9010"/>
            </w:tabs>
            <w:spacing w:after="180" w:before="180" w:line="240" w:lineRule="auto"/>
            <w:ind w:left="1134" w:right="0" w:firstLine="0"/>
            <w:jc w:val="left"/>
            <w:rPr>
              <w:rFonts w:ascii="Quattrocento Sans" w:cs="Quattrocento Sans" w:eastAsia="Quattrocento Sans" w:hAnsi="Quattrocento Sans"/>
              <w:b w:val="0"/>
              <w:i w:val="0"/>
              <w:smallCaps w:val="0"/>
              <w:strike w:val="0"/>
              <w:color w:val="44546a"/>
              <w:sz w:val="22"/>
              <w:szCs w:val="22"/>
              <w:u w:val="none"/>
              <w:shd w:fill="auto" w:val="clear"/>
              <w:vertAlign w:val="baseline"/>
            </w:rPr>
          </w:pPr>
          <w:hyperlink w:anchor="_heading=h.rhto8hutyui1">
            <w:r w:rsidDel="00000000" w:rsidR="00000000" w:rsidRPr="00000000">
              <w:rPr>
                <w:rFonts w:ascii="Quattrocento Sans" w:cs="Quattrocento Sans" w:eastAsia="Quattrocento Sans" w:hAnsi="Quattrocento Sans"/>
                <w:b w:val="1"/>
                <w:i w:val="0"/>
                <w:smallCaps w:val="0"/>
                <w:strike w:val="0"/>
                <w:color w:val="44546a"/>
                <w:sz w:val="21"/>
                <w:szCs w:val="21"/>
                <w:u w:val="none"/>
                <w:shd w:fill="auto" w:val="clear"/>
                <w:vertAlign w:val="baseline"/>
                <w:rtl w:val="0"/>
              </w:rPr>
              <w:t xml:space="preserve">Contents</w:t>
            </w:r>
          </w:hyperlink>
          <w:hyperlink w:anchor="_heading=h.rhto8hutyui1">
            <w:r w:rsidDel="00000000" w:rsidR="00000000" w:rsidRPr="00000000">
              <w:rPr>
                <w:rFonts w:ascii="Quattrocento Sans" w:cs="Quattrocento Sans" w:eastAsia="Quattrocento Sans" w:hAnsi="Quattrocento Sans"/>
                <w:b w:val="0"/>
                <w:i w:val="0"/>
                <w:smallCaps w:val="0"/>
                <w:strike w:val="0"/>
                <w:color w:val="44546a"/>
                <w:sz w:val="21"/>
                <w:szCs w:val="21"/>
                <w:u w:val="none"/>
                <w:shd w:fill="auto" w:val="clear"/>
                <w:vertAlign w:val="baseline"/>
                <w:rtl w:val="0"/>
              </w:rPr>
              <w:tab/>
              <w:t xml:space="preserve">3</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color="1d9759" w:space="1" w:sz="4" w:val="single"/>
              <w:left w:space="0" w:sz="0" w:val="nil"/>
              <w:bottom w:color="1d9759" w:space="1" w:sz="4" w:val="single"/>
              <w:right w:space="0" w:sz="0" w:val="nil"/>
              <w:between w:color="1d9759" w:space="1" w:sz="4" w:val="single"/>
            </w:pBdr>
            <w:shd w:fill="auto" w:val="clear"/>
            <w:tabs>
              <w:tab w:val="right" w:leader="dot" w:pos="9010"/>
            </w:tabs>
            <w:spacing w:after="180" w:before="180" w:line="240" w:lineRule="auto"/>
            <w:ind w:left="1134" w:right="0" w:firstLine="0"/>
            <w:jc w:val="left"/>
            <w:rPr>
              <w:rFonts w:ascii="Quattrocento Sans" w:cs="Quattrocento Sans" w:eastAsia="Quattrocento Sans" w:hAnsi="Quattrocento Sans"/>
              <w:b w:val="0"/>
              <w:i w:val="0"/>
              <w:smallCaps w:val="0"/>
              <w:strike w:val="0"/>
              <w:color w:val="44546a"/>
              <w:sz w:val="22"/>
              <w:szCs w:val="22"/>
              <w:u w:val="none"/>
              <w:shd w:fill="auto" w:val="clear"/>
              <w:vertAlign w:val="baseline"/>
            </w:rPr>
          </w:pPr>
          <w:hyperlink w:anchor="_heading=h.904kpt37xwbm">
            <w:r w:rsidDel="00000000" w:rsidR="00000000" w:rsidRPr="00000000">
              <w:rPr>
                <w:rFonts w:ascii="Quattrocento Sans" w:cs="Quattrocento Sans" w:eastAsia="Quattrocento Sans" w:hAnsi="Quattrocento Sans"/>
                <w:b w:val="1"/>
                <w:i w:val="0"/>
                <w:smallCaps w:val="0"/>
                <w:strike w:val="0"/>
                <w:color w:val="44546a"/>
                <w:sz w:val="21"/>
                <w:szCs w:val="21"/>
                <w:u w:val="none"/>
                <w:shd w:fill="auto" w:val="clear"/>
                <w:vertAlign w:val="baseline"/>
                <w:rtl w:val="0"/>
              </w:rPr>
              <w:t xml:space="preserve">Introduction</w:t>
            </w:r>
          </w:hyperlink>
          <w:hyperlink w:anchor="_heading=h.904kpt37xwbm">
            <w:r w:rsidDel="00000000" w:rsidR="00000000" w:rsidRPr="00000000">
              <w:rPr>
                <w:rFonts w:ascii="Quattrocento Sans" w:cs="Quattrocento Sans" w:eastAsia="Quattrocento Sans" w:hAnsi="Quattrocento Sans"/>
                <w:b w:val="0"/>
                <w:i w:val="0"/>
                <w:smallCaps w:val="0"/>
                <w:strike w:val="0"/>
                <w:color w:val="44546a"/>
                <w:sz w:val="21"/>
                <w:szCs w:val="21"/>
                <w:u w:val="none"/>
                <w:shd w:fill="auto" w:val="clear"/>
                <w:vertAlign w:val="baseline"/>
                <w:rtl w:val="0"/>
              </w:rPr>
              <w:tab/>
              <w:t xml:space="preserve">4</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color="1d9759" w:space="1" w:sz="4" w:val="single"/>
              <w:left w:space="0" w:sz="0" w:val="nil"/>
              <w:bottom w:color="1d9759" w:space="1" w:sz="4" w:val="single"/>
              <w:right w:space="0" w:sz="0" w:val="nil"/>
              <w:between w:color="1d9759" w:space="1" w:sz="4" w:val="single"/>
            </w:pBdr>
            <w:shd w:fill="auto" w:val="clear"/>
            <w:tabs>
              <w:tab w:val="right" w:leader="dot" w:pos="9010"/>
            </w:tabs>
            <w:spacing w:after="180" w:before="180" w:line="240" w:lineRule="auto"/>
            <w:ind w:left="1134" w:right="0" w:firstLine="0"/>
            <w:jc w:val="left"/>
            <w:rPr>
              <w:rFonts w:ascii="Quattrocento Sans" w:cs="Quattrocento Sans" w:eastAsia="Quattrocento Sans" w:hAnsi="Quattrocento Sans"/>
              <w:b w:val="0"/>
              <w:i w:val="0"/>
              <w:smallCaps w:val="0"/>
              <w:strike w:val="0"/>
              <w:color w:val="44546a"/>
              <w:sz w:val="22"/>
              <w:szCs w:val="22"/>
              <w:u w:val="none"/>
              <w:shd w:fill="auto" w:val="clear"/>
              <w:vertAlign w:val="baseline"/>
            </w:rPr>
          </w:pPr>
          <w:hyperlink w:anchor="_heading=h.uzijsdquxk6t">
            <w:r w:rsidDel="00000000" w:rsidR="00000000" w:rsidRPr="00000000">
              <w:rPr>
                <w:rFonts w:ascii="Quattrocento Sans" w:cs="Quattrocento Sans" w:eastAsia="Quattrocento Sans" w:hAnsi="Quattrocento Sans"/>
                <w:b w:val="1"/>
                <w:i w:val="0"/>
                <w:smallCaps w:val="0"/>
                <w:strike w:val="0"/>
                <w:color w:val="44546a"/>
                <w:sz w:val="21"/>
                <w:szCs w:val="21"/>
                <w:u w:val="none"/>
                <w:shd w:fill="auto" w:val="clear"/>
                <w:vertAlign w:val="baseline"/>
                <w:rtl w:val="0"/>
              </w:rPr>
              <w:t xml:space="preserve">Being accountable to Māori</w:t>
            </w:r>
          </w:hyperlink>
          <w:hyperlink w:anchor="_heading=h.uzijsdquxk6t">
            <w:r w:rsidDel="00000000" w:rsidR="00000000" w:rsidRPr="00000000">
              <w:rPr>
                <w:rFonts w:ascii="Quattrocento Sans" w:cs="Quattrocento Sans" w:eastAsia="Quattrocento Sans" w:hAnsi="Quattrocento Sans"/>
                <w:b w:val="0"/>
                <w:i w:val="0"/>
                <w:smallCaps w:val="0"/>
                <w:strike w:val="0"/>
                <w:color w:val="44546a"/>
                <w:sz w:val="21"/>
                <w:szCs w:val="21"/>
                <w:u w:val="none"/>
                <w:shd w:fill="auto" w:val="clear"/>
                <w:vertAlign w:val="baseline"/>
                <w:rtl w:val="0"/>
              </w:rPr>
              <w:tab/>
              <w:t xml:space="preserve">5</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color="1d9759" w:space="1" w:sz="4" w:val="single"/>
              <w:left w:space="0" w:sz="0" w:val="nil"/>
              <w:bottom w:color="1d9759" w:space="1" w:sz="4" w:val="single"/>
              <w:right w:space="0" w:sz="0" w:val="nil"/>
              <w:between w:color="1d9759" w:space="1" w:sz="4" w:val="single"/>
            </w:pBdr>
            <w:shd w:fill="auto" w:val="clear"/>
            <w:tabs>
              <w:tab w:val="right" w:leader="dot" w:pos="9010"/>
            </w:tabs>
            <w:spacing w:after="180" w:before="180" w:line="240" w:lineRule="auto"/>
            <w:ind w:left="1134" w:right="0" w:firstLine="0"/>
            <w:jc w:val="left"/>
            <w:rPr>
              <w:rFonts w:ascii="Quattrocento Sans" w:cs="Quattrocento Sans" w:eastAsia="Quattrocento Sans" w:hAnsi="Quattrocento Sans"/>
              <w:b w:val="0"/>
              <w:i w:val="0"/>
              <w:smallCaps w:val="0"/>
              <w:strike w:val="0"/>
              <w:color w:val="44546a"/>
              <w:sz w:val="22"/>
              <w:szCs w:val="22"/>
              <w:u w:val="none"/>
              <w:shd w:fill="auto" w:val="clear"/>
              <w:vertAlign w:val="baseline"/>
            </w:rPr>
          </w:pPr>
          <w:hyperlink w:anchor="_heading=h.ozxtwlb9crns">
            <w:r w:rsidDel="00000000" w:rsidR="00000000" w:rsidRPr="00000000">
              <w:rPr>
                <w:rFonts w:ascii="Quattrocento Sans" w:cs="Quattrocento Sans" w:eastAsia="Quattrocento Sans" w:hAnsi="Quattrocento Sans"/>
                <w:b w:val="1"/>
                <w:i w:val="0"/>
                <w:smallCaps w:val="0"/>
                <w:strike w:val="0"/>
                <w:color w:val="44546a"/>
                <w:sz w:val="21"/>
                <w:szCs w:val="21"/>
                <w:u w:val="none"/>
                <w:shd w:fill="auto" w:val="clear"/>
                <w:vertAlign w:val="baseline"/>
                <w:rtl w:val="0"/>
              </w:rPr>
              <w:t xml:space="preserve">Māori oral health equity action plan</w:t>
            </w:r>
          </w:hyperlink>
          <w:hyperlink w:anchor="_heading=h.ozxtwlb9crns">
            <w:r w:rsidDel="00000000" w:rsidR="00000000" w:rsidRPr="00000000">
              <w:rPr>
                <w:rFonts w:ascii="Quattrocento Sans" w:cs="Quattrocento Sans" w:eastAsia="Quattrocento Sans" w:hAnsi="Quattrocento Sans"/>
                <w:b w:val="0"/>
                <w:i w:val="0"/>
                <w:smallCaps w:val="0"/>
                <w:strike w:val="0"/>
                <w:color w:val="44546a"/>
                <w:sz w:val="21"/>
                <w:szCs w:val="21"/>
                <w:u w:val="none"/>
                <w:shd w:fill="auto" w:val="clear"/>
                <w:vertAlign w:val="baseline"/>
                <w:rtl w:val="0"/>
              </w:rPr>
              <w:tab/>
              <w:t xml:space="preserve">6</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color="1d9759" w:space="1" w:sz="4" w:val="single"/>
              <w:left w:space="0" w:sz="0" w:val="nil"/>
              <w:bottom w:color="1d9759" w:space="1" w:sz="4" w:val="single"/>
              <w:right w:space="0" w:sz="0" w:val="nil"/>
              <w:between w:color="1d9759" w:space="1" w:sz="4" w:val="single"/>
            </w:pBdr>
            <w:shd w:fill="auto" w:val="clear"/>
            <w:tabs>
              <w:tab w:val="right" w:leader="dot" w:pos="9010"/>
            </w:tabs>
            <w:spacing w:after="180" w:before="180" w:line="240" w:lineRule="auto"/>
            <w:ind w:left="1134" w:right="0" w:firstLine="0"/>
            <w:jc w:val="left"/>
            <w:rPr>
              <w:rFonts w:ascii="Quattrocento Sans" w:cs="Quattrocento Sans" w:eastAsia="Quattrocento Sans" w:hAnsi="Quattrocento Sans"/>
              <w:b w:val="0"/>
              <w:i w:val="0"/>
              <w:smallCaps w:val="0"/>
              <w:strike w:val="0"/>
              <w:color w:val="44546a"/>
              <w:sz w:val="22"/>
              <w:szCs w:val="22"/>
              <w:u w:val="none"/>
              <w:shd w:fill="auto" w:val="clear"/>
              <w:vertAlign w:val="baseline"/>
            </w:rPr>
          </w:pPr>
          <w:hyperlink w:anchor="_heading=h.3dexqx4i0dcw">
            <w:r w:rsidDel="00000000" w:rsidR="00000000" w:rsidRPr="00000000">
              <w:rPr>
                <w:rFonts w:ascii="Quattrocento Sans" w:cs="Quattrocento Sans" w:eastAsia="Quattrocento Sans" w:hAnsi="Quattrocento Sans"/>
                <w:b w:val="1"/>
                <w:i w:val="0"/>
                <w:smallCaps w:val="0"/>
                <w:strike w:val="0"/>
                <w:color w:val="44546a"/>
                <w:sz w:val="21"/>
                <w:szCs w:val="21"/>
                <w:u w:val="none"/>
                <w:shd w:fill="auto" w:val="clear"/>
                <w:vertAlign w:val="baseline"/>
                <w:rtl w:val="0"/>
              </w:rPr>
              <w:t xml:space="preserve">Priority 1:  Achieving an equitable oral health system</w:t>
            </w:r>
          </w:hyperlink>
          <w:hyperlink w:anchor="_heading=h.3dexqx4i0dcw">
            <w:r w:rsidDel="00000000" w:rsidR="00000000" w:rsidRPr="00000000">
              <w:rPr>
                <w:rFonts w:ascii="Quattrocento Sans" w:cs="Quattrocento Sans" w:eastAsia="Quattrocento Sans" w:hAnsi="Quattrocento Sans"/>
                <w:b w:val="0"/>
                <w:i w:val="0"/>
                <w:smallCaps w:val="0"/>
                <w:strike w:val="0"/>
                <w:color w:val="44546a"/>
                <w:sz w:val="21"/>
                <w:szCs w:val="21"/>
                <w:u w:val="none"/>
                <w:shd w:fill="auto" w:val="clear"/>
                <w:vertAlign w:val="baseline"/>
                <w:rtl w:val="0"/>
              </w:rPr>
              <w:tab/>
              <w:t xml:space="preserve">7</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color="1d9759" w:space="1" w:sz="4" w:val="single"/>
              <w:left w:space="0" w:sz="0" w:val="nil"/>
              <w:bottom w:color="1d9759" w:space="1" w:sz="4" w:val="single"/>
              <w:right w:space="0" w:sz="0" w:val="nil"/>
              <w:between w:color="1d9759" w:space="1" w:sz="4" w:val="single"/>
            </w:pBdr>
            <w:shd w:fill="auto" w:val="clear"/>
            <w:tabs>
              <w:tab w:val="right" w:leader="dot" w:pos="9010"/>
            </w:tabs>
            <w:spacing w:after="180" w:before="180" w:line="240" w:lineRule="auto"/>
            <w:ind w:left="1134" w:right="0" w:firstLine="0"/>
            <w:jc w:val="left"/>
            <w:rPr>
              <w:rFonts w:ascii="Quattrocento Sans" w:cs="Quattrocento Sans" w:eastAsia="Quattrocento Sans" w:hAnsi="Quattrocento Sans"/>
              <w:b w:val="0"/>
              <w:i w:val="0"/>
              <w:smallCaps w:val="0"/>
              <w:strike w:val="0"/>
              <w:color w:val="44546a"/>
              <w:sz w:val="22"/>
              <w:szCs w:val="22"/>
              <w:u w:val="none"/>
              <w:shd w:fill="auto" w:val="clear"/>
              <w:vertAlign w:val="baseline"/>
            </w:rPr>
          </w:pPr>
          <w:hyperlink w:anchor="_heading=h.8dr0w0tx2oye">
            <w:r w:rsidDel="00000000" w:rsidR="00000000" w:rsidRPr="00000000">
              <w:rPr>
                <w:rFonts w:ascii="Quattrocento Sans" w:cs="Quattrocento Sans" w:eastAsia="Quattrocento Sans" w:hAnsi="Quattrocento Sans"/>
                <w:b w:val="1"/>
                <w:i w:val="0"/>
                <w:smallCaps w:val="0"/>
                <w:strike w:val="0"/>
                <w:color w:val="44546a"/>
                <w:sz w:val="21"/>
                <w:szCs w:val="21"/>
                <w:u w:val="none"/>
                <w:shd w:fill="auto" w:val="clear"/>
                <w:vertAlign w:val="baseline"/>
                <w:rtl w:val="0"/>
              </w:rPr>
              <w:t xml:space="preserve">Priority 2: Responsive oral health services</w:t>
            </w:r>
          </w:hyperlink>
          <w:hyperlink w:anchor="_heading=h.8dr0w0tx2oye">
            <w:r w:rsidDel="00000000" w:rsidR="00000000" w:rsidRPr="00000000">
              <w:rPr>
                <w:rFonts w:ascii="Quattrocento Sans" w:cs="Quattrocento Sans" w:eastAsia="Quattrocento Sans" w:hAnsi="Quattrocento Sans"/>
                <w:b w:val="0"/>
                <w:i w:val="0"/>
                <w:smallCaps w:val="0"/>
                <w:strike w:val="0"/>
                <w:color w:val="44546a"/>
                <w:sz w:val="21"/>
                <w:szCs w:val="21"/>
                <w:u w:val="none"/>
                <w:shd w:fill="auto" w:val="clear"/>
                <w:vertAlign w:val="baseline"/>
                <w:rtl w:val="0"/>
              </w:rPr>
              <w:tab/>
              <w:t xml:space="preserve">10</w:t>
            </w:r>
          </w:hyperlink>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color="1d9759" w:space="1" w:sz="4" w:val="single"/>
              <w:left w:space="0" w:sz="0" w:val="nil"/>
              <w:bottom w:color="1d9759" w:space="1" w:sz="4" w:val="single"/>
              <w:right w:space="0" w:sz="0" w:val="nil"/>
              <w:between w:color="1d9759" w:space="1" w:sz="4" w:val="single"/>
            </w:pBdr>
            <w:shd w:fill="auto" w:val="clear"/>
            <w:tabs>
              <w:tab w:val="right" w:leader="dot" w:pos="9010"/>
            </w:tabs>
            <w:spacing w:after="180" w:before="180" w:line="240" w:lineRule="auto"/>
            <w:ind w:left="1134" w:right="0" w:firstLine="0"/>
            <w:jc w:val="left"/>
            <w:rPr>
              <w:rFonts w:ascii="Quattrocento Sans" w:cs="Quattrocento Sans" w:eastAsia="Quattrocento Sans" w:hAnsi="Quattrocento Sans"/>
              <w:b w:val="0"/>
              <w:i w:val="0"/>
              <w:smallCaps w:val="0"/>
              <w:strike w:val="0"/>
              <w:color w:val="44546a"/>
              <w:sz w:val="22"/>
              <w:szCs w:val="22"/>
              <w:u w:val="none"/>
              <w:shd w:fill="auto" w:val="clear"/>
              <w:vertAlign w:val="baseline"/>
            </w:rPr>
          </w:pPr>
          <w:hyperlink w:anchor="_heading=h.61obtz2b9r6r">
            <w:r w:rsidDel="00000000" w:rsidR="00000000" w:rsidRPr="00000000">
              <w:rPr>
                <w:rFonts w:ascii="Quattrocento Sans" w:cs="Quattrocento Sans" w:eastAsia="Quattrocento Sans" w:hAnsi="Quattrocento Sans"/>
                <w:b w:val="1"/>
                <w:i w:val="0"/>
                <w:smallCaps w:val="0"/>
                <w:strike w:val="0"/>
                <w:color w:val="44546a"/>
                <w:sz w:val="21"/>
                <w:szCs w:val="21"/>
                <w:u w:val="none"/>
                <w:shd w:fill="auto" w:val="clear"/>
                <w:vertAlign w:val="baseline"/>
                <w:rtl w:val="0"/>
              </w:rPr>
              <w:t xml:space="preserve">Priority 3:  Greater whānau participation</w:t>
            </w:r>
          </w:hyperlink>
          <w:hyperlink w:anchor="_heading=h.61obtz2b9r6r">
            <w:r w:rsidDel="00000000" w:rsidR="00000000" w:rsidRPr="00000000">
              <w:rPr>
                <w:rFonts w:ascii="Quattrocento Sans" w:cs="Quattrocento Sans" w:eastAsia="Quattrocento Sans" w:hAnsi="Quattrocento Sans"/>
                <w:b w:val="0"/>
                <w:i w:val="0"/>
                <w:smallCaps w:val="0"/>
                <w:strike w:val="0"/>
                <w:color w:val="44546a"/>
                <w:sz w:val="21"/>
                <w:szCs w:val="21"/>
                <w:u w:val="none"/>
                <w:shd w:fill="auto" w:val="clear"/>
                <w:vertAlign w:val="baseline"/>
                <w:rtl w:val="0"/>
              </w:rPr>
              <w:tab/>
              <w:t xml:space="preserve">12</w:t>
            </w:r>
          </w:hyperlink>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color="1d9759" w:space="1" w:sz="4" w:val="single"/>
              <w:left w:space="0" w:sz="0" w:val="nil"/>
              <w:bottom w:color="1d9759" w:space="1" w:sz="4" w:val="single"/>
              <w:right w:space="0" w:sz="0" w:val="nil"/>
              <w:between w:color="1d9759" w:space="1" w:sz="4" w:val="single"/>
            </w:pBdr>
            <w:shd w:fill="auto" w:val="clear"/>
            <w:tabs>
              <w:tab w:val="right" w:leader="dot" w:pos="9010"/>
            </w:tabs>
            <w:spacing w:after="180" w:before="180" w:line="240" w:lineRule="auto"/>
            <w:ind w:left="1134" w:right="0" w:firstLine="0"/>
            <w:jc w:val="left"/>
            <w:rPr>
              <w:rFonts w:ascii="Quattrocento Sans" w:cs="Quattrocento Sans" w:eastAsia="Quattrocento Sans" w:hAnsi="Quattrocento Sans"/>
              <w:b w:val="0"/>
              <w:i w:val="0"/>
              <w:smallCaps w:val="0"/>
              <w:strike w:val="0"/>
              <w:color w:val="44546a"/>
              <w:sz w:val="22"/>
              <w:szCs w:val="22"/>
              <w:u w:val="none"/>
              <w:shd w:fill="auto" w:val="clear"/>
              <w:vertAlign w:val="baseline"/>
            </w:rPr>
          </w:pPr>
          <w:hyperlink w:anchor="_heading=h.7832jpqfi82d">
            <w:r w:rsidDel="00000000" w:rsidR="00000000" w:rsidRPr="00000000">
              <w:rPr>
                <w:rFonts w:ascii="Quattrocento Sans" w:cs="Quattrocento Sans" w:eastAsia="Quattrocento Sans" w:hAnsi="Quattrocento Sans"/>
                <w:b w:val="1"/>
                <w:i w:val="0"/>
                <w:smallCaps w:val="0"/>
                <w:strike w:val="0"/>
                <w:color w:val="44546a"/>
                <w:sz w:val="21"/>
                <w:szCs w:val="21"/>
                <w:u w:val="none"/>
                <w:shd w:fill="auto" w:val="clear"/>
                <w:vertAlign w:val="baseline"/>
                <w:rtl w:val="0"/>
              </w:rPr>
              <w:t xml:space="preserve">Priority 4:  Build a fit for purpose oral health workforce</w:t>
            </w:r>
          </w:hyperlink>
          <w:hyperlink w:anchor="_heading=h.7832jpqfi82d">
            <w:r w:rsidDel="00000000" w:rsidR="00000000" w:rsidRPr="00000000">
              <w:rPr>
                <w:rFonts w:ascii="Quattrocento Sans" w:cs="Quattrocento Sans" w:eastAsia="Quattrocento Sans" w:hAnsi="Quattrocento Sans"/>
                <w:b w:val="0"/>
                <w:i w:val="0"/>
                <w:smallCaps w:val="0"/>
                <w:strike w:val="0"/>
                <w:color w:val="44546a"/>
                <w:sz w:val="21"/>
                <w:szCs w:val="21"/>
                <w:u w:val="none"/>
                <w:shd w:fill="auto" w:val="clear"/>
                <w:vertAlign w:val="baseline"/>
                <w:rtl w:val="0"/>
              </w:rPr>
              <w:tab/>
              <w:t xml:space="preserve">13</w:t>
            </w:r>
          </w:hyperlink>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color="1d9759" w:space="1" w:sz="4" w:val="single"/>
              <w:left w:space="0" w:sz="0" w:val="nil"/>
              <w:bottom w:color="1d9759" w:space="1" w:sz="4" w:val="single"/>
              <w:right w:space="0" w:sz="0" w:val="nil"/>
              <w:between w:color="1d9759" w:space="1" w:sz="4" w:val="single"/>
            </w:pBdr>
            <w:shd w:fill="auto" w:val="clear"/>
            <w:tabs>
              <w:tab w:val="right" w:leader="dot" w:pos="9010"/>
            </w:tabs>
            <w:spacing w:after="180" w:before="180" w:line="240" w:lineRule="auto"/>
            <w:ind w:left="1134" w:right="0" w:firstLine="0"/>
            <w:jc w:val="left"/>
            <w:rPr>
              <w:rFonts w:ascii="Quattrocento Sans" w:cs="Quattrocento Sans" w:eastAsia="Quattrocento Sans" w:hAnsi="Quattrocento Sans"/>
              <w:b w:val="0"/>
              <w:i w:val="0"/>
              <w:smallCaps w:val="0"/>
              <w:strike w:val="0"/>
              <w:color w:val="44546a"/>
              <w:sz w:val="22"/>
              <w:szCs w:val="22"/>
              <w:u w:val="none"/>
              <w:shd w:fill="auto" w:val="clear"/>
              <w:vertAlign w:val="baseline"/>
            </w:rPr>
          </w:pPr>
          <w:hyperlink w:anchor="_heading=h.1c9oo4iq2ap">
            <w:r w:rsidDel="00000000" w:rsidR="00000000" w:rsidRPr="00000000">
              <w:rPr>
                <w:rFonts w:ascii="Quattrocento Sans" w:cs="Quattrocento Sans" w:eastAsia="Quattrocento Sans" w:hAnsi="Quattrocento Sans"/>
                <w:b w:val="1"/>
                <w:i w:val="0"/>
                <w:smallCaps w:val="0"/>
                <w:strike w:val="0"/>
                <w:color w:val="44546a"/>
                <w:sz w:val="21"/>
                <w:szCs w:val="21"/>
                <w:u w:val="none"/>
                <w:shd w:fill="auto" w:val="clear"/>
                <w:vertAlign w:val="baseline"/>
                <w:rtl w:val="0"/>
              </w:rPr>
              <w:t xml:space="preserve">References</w:t>
            </w:r>
          </w:hyperlink>
          <w:hyperlink w:anchor="_heading=h.1c9oo4iq2ap">
            <w:r w:rsidDel="00000000" w:rsidR="00000000" w:rsidRPr="00000000">
              <w:rPr>
                <w:rFonts w:ascii="Quattrocento Sans" w:cs="Quattrocento Sans" w:eastAsia="Quattrocento Sans" w:hAnsi="Quattrocento Sans"/>
                <w:b w:val="0"/>
                <w:i w:val="0"/>
                <w:smallCaps w:val="0"/>
                <w:strike w:val="0"/>
                <w:color w:val="44546a"/>
                <w:sz w:val="21"/>
                <w:szCs w:val="21"/>
                <w:u w:val="none"/>
                <w:shd w:fill="auto" w:val="clear"/>
                <w:vertAlign w:val="baseline"/>
                <w:rtl w:val="0"/>
              </w:rPr>
              <w:tab/>
              <w:t xml:space="preserve">15</w:t>
            </w:r>
          </w:hyperlink>
          <w:r w:rsidDel="00000000" w:rsidR="00000000" w:rsidRPr="00000000">
            <w:rPr>
              <w:rtl w:val="0"/>
            </w:rPr>
          </w:r>
        </w:p>
        <w:p w:rsidR="00000000" w:rsidDel="00000000" w:rsidP="00000000" w:rsidRDefault="00000000" w:rsidRPr="00000000" w14:paraId="00000034">
          <w:pPr>
            <w:rPr>
              <w:rFonts w:ascii="Quattrocento Sans" w:cs="Quattrocento Sans" w:eastAsia="Quattrocento Sans" w:hAnsi="Quattrocento Sans"/>
              <w:b w:val="1"/>
              <w:color w:val="44546a"/>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5">
      <w:pPr>
        <w:rPr>
          <w:rFonts w:ascii="Quattrocento Sans" w:cs="Quattrocento Sans" w:eastAsia="Quattrocento Sans" w:hAnsi="Quattrocento Sans"/>
          <w:b w:val="1"/>
          <w:color w:val="44546a"/>
        </w:rPr>
      </w:pPr>
      <w:r w:rsidDel="00000000" w:rsidR="00000000" w:rsidRPr="00000000">
        <w:br w:type="page"/>
      </w:r>
      <w:r w:rsidDel="00000000" w:rsidR="00000000" w:rsidRPr="00000000">
        <w:rPr>
          <w:rtl w:val="0"/>
        </w:rPr>
      </w:r>
    </w:p>
    <w:p w:rsidR="00000000" w:rsidDel="00000000" w:rsidP="00000000" w:rsidRDefault="00000000" w:rsidRPr="00000000" w14:paraId="00000036">
      <w:pPr>
        <w:jc w:val="both"/>
        <w:rPr>
          <w:rFonts w:ascii="Quattrocento Sans" w:cs="Quattrocento Sans" w:eastAsia="Quattrocento Sans" w:hAnsi="Quattrocento Sans"/>
          <w:b w:val="1"/>
          <w:color w:val="1f3864"/>
          <w:sz w:val="40"/>
          <w:szCs w:val="40"/>
        </w:rPr>
      </w:pPr>
      <w:bookmarkStart w:colFirst="0" w:colLast="0" w:name="_heading=h.904kpt37xwbm" w:id="3"/>
      <w:bookmarkEnd w:id="3"/>
      <w:r w:rsidDel="00000000" w:rsidR="00000000" w:rsidRPr="00000000">
        <w:rPr>
          <w:rFonts w:ascii="Quattrocento Sans" w:cs="Quattrocento Sans" w:eastAsia="Quattrocento Sans" w:hAnsi="Quattrocento Sans"/>
          <w:b w:val="1"/>
          <w:color w:val="1f3864"/>
          <w:sz w:val="40"/>
          <w:szCs w:val="40"/>
          <w:rtl w:val="0"/>
        </w:rPr>
        <w:t xml:space="preserve">Introduction</w:t>
      </w:r>
    </w:p>
    <w:p w:rsidR="00000000" w:rsidDel="00000000" w:rsidP="00000000" w:rsidRDefault="00000000" w:rsidRPr="00000000" w14:paraId="00000037">
      <w:pPr>
        <w:jc w:val="both"/>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38">
      <w:pPr>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Equitable health care is necessary to the success of any quality health system.   Achieving equity in health recognises that different people with different levels of advantage require different approaches and resources to achieve the same outcome (Ministry of Health, 2018).  Māori experience unacceptable inequities in health outcomes, and oral health is no exception.  Māori are disproportionately represented in measures of oral health disease and outcomes and this is having a huge impact on the health and well-being of whānau Māori across the age spectrum.  Child oral health data shows a far greater proportion of tamariki Māori have dental disease and their experience of this disease is more severe.  As a result of this severe experience, a greater proportion of tamariki Māori are admitted to hospital for treatment of this dental disease.  Rangatahi Māori (13-18 years old) have poorer oral health service utilisation rates compared to non-Māori youth, and from the age of 18 years have higher rates of unmet oral health disease and are more likely to delay treatment due to cost (Ministry of Health, 2010; Public Health Advisory Committee, 2003; Ministry of Health, 2019).  </w:t>
      </w:r>
    </w:p>
    <w:p w:rsidR="00000000" w:rsidDel="00000000" w:rsidP="00000000" w:rsidRDefault="00000000" w:rsidRPr="00000000" w14:paraId="00000039">
      <w:pPr>
        <w:jc w:val="both"/>
        <w:rPr>
          <w:rFonts w:ascii="Quattrocento Sans" w:cs="Quattrocento Sans" w:eastAsia="Quattrocento Sans" w:hAnsi="Quattrocento Sans"/>
          <w:sz w:val="22"/>
          <w:szCs w:val="22"/>
        </w:rPr>
      </w:pPr>
      <w:r w:rsidDel="00000000" w:rsidR="00000000" w:rsidRPr="00000000">
        <w:rPr>
          <w:rtl w:val="0"/>
        </w:rPr>
      </w:r>
    </w:p>
    <w:p w:rsidR="00000000" w:rsidDel="00000000" w:rsidP="00000000" w:rsidRDefault="00000000" w:rsidRPr="00000000" w14:paraId="0000003A">
      <w:pPr>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‘Good oral health, for all, for life’ (Ministry of Health, 2006) provided the platform for designing and delivering an equitable fit-for-purpose oral health system.  The reorientation of school dental service to community-focused dental hubs was a main action of the strategy to enable equitable oral health outcomes.  But equity has not been achieved.  Research, reports, and innumerable whānau voices have identified ongoing barriers to access to care.  Unresponsive and inappropriate models of care, and cultural incompetence have been identified as main contributors of continued inequities in oral health for Māori. </w:t>
      </w:r>
    </w:p>
    <w:p w:rsidR="00000000" w:rsidDel="00000000" w:rsidP="00000000" w:rsidRDefault="00000000" w:rsidRPr="00000000" w14:paraId="0000003B">
      <w:pPr>
        <w:jc w:val="both"/>
        <w:rPr>
          <w:rFonts w:ascii="Quattrocento Sans" w:cs="Quattrocento Sans" w:eastAsia="Quattrocento Sans" w:hAnsi="Quattrocento Sans"/>
          <w:sz w:val="22"/>
          <w:szCs w:val="22"/>
        </w:rPr>
      </w:pPr>
      <w:r w:rsidDel="00000000" w:rsidR="00000000" w:rsidRPr="00000000">
        <w:rPr>
          <w:rtl w:val="0"/>
        </w:rPr>
      </w:r>
    </w:p>
    <w:p w:rsidR="00000000" w:rsidDel="00000000" w:rsidP="00000000" w:rsidRDefault="00000000" w:rsidRPr="00000000" w14:paraId="0000003C">
      <w:pPr>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The current plan aims to address oral health inequities. Throughout its development, there has been a clear and resounding willingness from the oral health sector to deliver an oral health system that leaves no-one behind.  Implementing this plan, and making sustainable improvements, will take substantial effort, and a continued commitment from everyone to ensure all Māori enjoy good oral health, for life.     </w:t>
      </w:r>
    </w:p>
    <w:p w:rsidR="00000000" w:rsidDel="00000000" w:rsidP="00000000" w:rsidRDefault="00000000" w:rsidRPr="00000000" w14:paraId="0000003D">
      <w:pPr>
        <w:rPr>
          <w:rFonts w:ascii="Quattrocento Sans" w:cs="Quattrocento Sans" w:eastAsia="Quattrocento Sans" w:hAnsi="Quattrocento Sans"/>
          <w:b w:val="1"/>
          <w:sz w:val="22"/>
          <w:szCs w:val="22"/>
        </w:rPr>
      </w:pPr>
      <w:r w:rsidDel="00000000" w:rsidR="00000000" w:rsidRPr="00000000">
        <w:rPr>
          <w:rtl w:val="0"/>
        </w:rPr>
      </w:r>
    </w:p>
    <w:p w:rsidR="00000000" w:rsidDel="00000000" w:rsidP="00000000" w:rsidRDefault="00000000" w:rsidRPr="00000000" w14:paraId="0000003E">
      <w:pPr>
        <w:rPr>
          <w:rFonts w:ascii="Quattrocento Sans" w:cs="Quattrocento Sans" w:eastAsia="Quattrocento Sans" w:hAnsi="Quattrocento Sans"/>
          <w:b w:val="1"/>
          <w:color w:val="1f3864"/>
          <w:sz w:val="40"/>
          <w:szCs w:val="40"/>
        </w:rPr>
      </w:pPr>
      <w:r w:rsidDel="00000000" w:rsidR="00000000" w:rsidRPr="00000000">
        <w:br w:type="page"/>
      </w:r>
      <w:r w:rsidDel="00000000" w:rsidR="00000000" w:rsidRPr="00000000">
        <w:rPr>
          <w:rtl w:val="0"/>
        </w:rPr>
      </w:r>
    </w:p>
    <w:p w:rsidR="00000000" w:rsidDel="00000000" w:rsidP="00000000" w:rsidRDefault="00000000" w:rsidRPr="00000000" w14:paraId="0000003F">
      <w:pPr>
        <w:jc w:val="both"/>
        <w:rPr>
          <w:rFonts w:ascii="Quattrocento Sans" w:cs="Quattrocento Sans" w:eastAsia="Quattrocento Sans" w:hAnsi="Quattrocento Sans"/>
          <w:b w:val="1"/>
          <w:color w:val="1f3864"/>
          <w:sz w:val="40"/>
          <w:szCs w:val="40"/>
        </w:rPr>
      </w:pPr>
      <w:bookmarkStart w:colFirst="0" w:colLast="0" w:name="_heading=h.uzijsdquxk6t" w:id="4"/>
      <w:bookmarkEnd w:id="4"/>
      <w:r w:rsidDel="00000000" w:rsidR="00000000" w:rsidRPr="00000000">
        <w:rPr>
          <w:rFonts w:ascii="Quattrocento Sans" w:cs="Quattrocento Sans" w:eastAsia="Quattrocento Sans" w:hAnsi="Quattrocento Sans"/>
          <w:b w:val="1"/>
          <w:color w:val="1f3864"/>
          <w:sz w:val="40"/>
          <w:szCs w:val="40"/>
          <w:rtl w:val="0"/>
        </w:rPr>
        <w:t xml:space="preserve">Being accountable to Māori</w:t>
      </w:r>
    </w:p>
    <w:p w:rsidR="00000000" w:rsidDel="00000000" w:rsidP="00000000" w:rsidRDefault="00000000" w:rsidRPr="00000000" w14:paraId="00000040">
      <w:pPr>
        <w:jc w:val="both"/>
        <w:rPr>
          <w:rFonts w:ascii="Quattrocento Sans" w:cs="Quattrocento Sans" w:eastAsia="Quattrocento Sans" w:hAnsi="Quattrocento Sans"/>
          <w:sz w:val="22"/>
          <w:szCs w:val="22"/>
        </w:rPr>
      </w:pPr>
      <w:r w:rsidDel="00000000" w:rsidR="00000000" w:rsidRPr="00000000">
        <w:rPr>
          <w:rtl w:val="0"/>
        </w:rPr>
      </w:r>
    </w:p>
    <w:p w:rsidR="00000000" w:rsidDel="00000000" w:rsidP="00000000" w:rsidRDefault="00000000" w:rsidRPr="00000000" w14:paraId="00000041">
      <w:pPr>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The place and role of Te Tiriti o Waitangi in health and health care provision is well established.  Māori have unique rights as Treaty partners, and as citizens of Aotearoa New Zealand, to enjoy good oral health.  But we know this has not been the case.  The WAI2575 Health Services and Outcomes Kaupapa Inquiry identified consistent failures of the Crown in its commitment to achieve equity of health outcomes for Māori.  Provisions to ensure Māori have adequate decision making, influence, investment, and appropriate accountability mechanisms to ensure the delivery of quality health care to Māori communities have not been met (Waitangi Tribunal, 2019).  </w:t>
      </w:r>
    </w:p>
    <w:p w:rsidR="00000000" w:rsidDel="00000000" w:rsidP="00000000" w:rsidRDefault="00000000" w:rsidRPr="00000000" w14:paraId="00000042">
      <w:pPr>
        <w:jc w:val="both"/>
        <w:rPr>
          <w:rFonts w:ascii="Quattrocento Sans" w:cs="Quattrocento Sans" w:eastAsia="Quattrocento Sans" w:hAnsi="Quattrocento Sans"/>
          <w:sz w:val="22"/>
          <w:szCs w:val="22"/>
        </w:rPr>
      </w:pPr>
      <w:r w:rsidDel="00000000" w:rsidR="00000000" w:rsidRPr="00000000">
        <w:rPr>
          <w:rtl w:val="0"/>
        </w:rPr>
      </w:r>
    </w:p>
    <w:p w:rsidR="00000000" w:rsidDel="00000000" w:rsidP="00000000" w:rsidRDefault="00000000" w:rsidRPr="00000000" w14:paraId="00000043">
      <w:pPr>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The Health and Disability System Review has also investigated how the system could be better designed and delivered with a specific goal of achieving equity of outcomes for Māori.  The review revealed that Māori, as Tiriti/Treaty partners, have not been well served by the health system, and looking forward, mātauranga Māori and rights under Te Tiriti o Waitangi must be fully implemented (NZ Health &amp; Disability System Review, 2019).  </w:t>
      </w:r>
    </w:p>
    <w:p w:rsidR="00000000" w:rsidDel="00000000" w:rsidP="00000000" w:rsidRDefault="00000000" w:rsidRPr="00000000" w14:paraId="00000044">
      <w:pPr>
        <w:jc w:val="both"/>
        <w:rPr>
          <w:rFonts w:ascii="Quattrocento Sans" w:cs="Quattrocento Sans" w:eastAsia="Quattrocento Sans" w:hAnsi="Quattrocento Sans"/>
          <w:sz w:val="22"/>
          <w:szCs w:val="22"/>
        </w:rPr>
      </w:pPr>
      <w:r w:rsidDel="00000000" w:rsidR="00000000" w:rsidRPr="00000000">
        <w:rPr>
          <w:rtl w:val="0"/>
        </w:rPr>
      </w:r>
    </w:p>
    <w:p w:rsidR="00000000" w:rsidDel="00000000" w:rsidP="00000000" w:rsidRDefault="00000000" w:rsidRPr="00000000" w14:paraId="00000045">
      <w:pPr>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Oral health is an integral part of the health system, and is necessary for achieving the overarching goal of He Korowai Oranga, Pae Ora – healthy futures (Ministry of Health, 2014).  This action plan presents an opportunity to better implement the partnership established in Te Tiriti o Waitangi, to bring about the fundamental disruptive change needed to move to a model that is whānau centric, kaupapa Māori driven, and where prevention, promotion, and integration are embedded as best practice.  But the success of this model will rely on a mix of providers and practitioners, who are clinically competent, culturally safe, and willing to work as a team, with a common purpose to eliminate inequity in oral health outcomes for Māori.</w:t>
      </w:r>
    </w:p>
    <w:p w:rsidR="00000000" w:rsidDel="00000000" w:rsidP="00000000" w:rsidRDefault="00000000" w:rsidRPr="00000000" w14:paraId="00000046">
      <w:pPr>
        <w:jc w:val="both"/>
        <w:rPr>
          <w:rFonts w:ascii="Quattrocento Sans" w:cs="Quattrocento Sans" w:eastAsia="Quattrocento Sans" w:hAnsi="Quattrocento Sans"/>
          <w:sz w:val="22"/>
          <w:szCs w:val="22"/>
        </w:rPr>
      </w:pPr>
      <w:r w:rsidDel="00000000" w:rsidR="00000000" w:rsidRPr="00000000">
        <w:rPr>
          <w:rtl w:val="0"/>
        </w:rPr>
      </w:r>
    </w:p>
    <w:p w:rsidR="00000000" w:rsidDel="00000000" w:rsidP="00000000" w:rsidRDefault="00000000" w:rsidRPr="00000000" w14:paraId="00000047">
      <w:pPr>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sz w:val="22"/>
          <w:szCs w:val="22"/>
          <w:rtl w:val="0"/>
        </w:rPr>
        <w:t xml:space="preserve">As a united oral health system, we can collectively make ourselves accountable for equity improvements for Māori.  This action plan is the first step toward achieving long term, sustainable change. </w:t>
      </w:r>
      <w:r w:rsidDel="00000000" w:rsidR="00000000" w:rsidRPr="00000000">
        <w:rPr>
          <w:rtl w:val="0"/>
        </w:rPr>
      </w:r>
    </w:p>
    <w:p w:rsidR="00000000" w:rsidDel="00000000" w:rsidP="00000000" w:rsidRDefault="00000000" w:rsidRPr="00000000" w14:paraId="00000048">
      <w:pPr>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49">
      <w:pPr>
        <w:rPr>
          <w:rFonts w:ascii="Quattrocento Sans" w:cs="Quattrocento Sans" w:eastAsia="Quattrocento Sans" w:hAnsi="Quattrocento Sans"/>
          <w:b w:val="1"/>
          <w:color w:val="1f3864"/>
          <w:sz w:val="40"/>
          <w:szCs w:val="40"/>
        </w:rPr>
      </w:pPr>
      <w:r w:rsidDel="00000000" w:rsidR="00000000" w:rsidRPr="00000000">
        <w:br w:type="page"/>
      </w:r>
      <w:r w:rsidDel="00000000" w:rsidR="00000000" w:rsidRPr="00000000">
        <w:rPr>
          <w:rtl w:val="0"/>
        </w:rPr>
      </w:r>
    </w:p>
    <w:p w:rsidR="00000000" w:rsidDel="00000000" w:rsidP="00000000" w:rsidRDefault="00000000" w:rsidRPr="00000000" w14:paraId="0000004A">
      <w:pPr>
        <w:jc w:val="both"/>
        <w:rPr>
          <w:rFonts w:ascii="Quattrocento Sans" w:cs="Quattrocento Sans" w:eastAsia="Quattrocento Sans" w:hAnsi="Quattrocento Sans"/>
          <w:b w:val="1"/>
          <w:color w:val="1f3864"/>
          <w:sz w:val="40"/>
          <w:szCs w:val="40"/>
        </w:rPr>
      </w:pPr>
      <w:bookmarkStart w:colFirst="0" w:colLast="0" w:name="_heading=h.ozxtwlb9crns" w:id="5"/>
      <w:bookmarkEnd w:id="5"/>
      <w:r w:rsidDel="00000000" w:rsidR="00000000" w:rsidRPr="00000000">
        <w:rPr>
          <w:rFonts w:ascii="Quattrocento Sans" w:cs="Quattrocento Sans" w:eastAsia="Quattrocento Sans" w:hAnsi="Quattrocento Sans"/>
          <w:b w:val="1"/>
          <w:color w:val="1f3864"/>
          <w:sz w:val="40"/>
          <w:szCs w:val="40"/>
          <w:rtl w:val="0"/>
        </w:rPr>
        <w:t xml:space="preserve">Māori oral health equity action plan </w:t>
      </w:r>
    </w:p>
    <w:p w:rsidR="00000000" w:rsidDel="00000000" w:rsidP="00000000" w:rsidRDefault="00000000" w:rsidRPr="00000000" w14:paraId="0000004B">
      <w:pPr>
        <w:ind w:right="-489"/>
        <w:jc w:val="both"/>
        <w:rPr>
          <w:rFonts w:ascii="Quattrocento Sans" w:cs="Quattrocento Sans" w:eastAsia="Quattrocento Sans" w:hAnsi="Quattrocento Sans"/>
          <w:sz w:val="22"/>
          <w:szCs w:val="22"/>
        </w:rPr>
      </w:pPr>
      <w:r w:rsidDel="00000000" w:rsidR="00000000" w:rsidRPr="00000000">
        <w:rPr>
          <w:rtl w:val="0"/>
        </w:rPr>
      </w:r>
    </w:p>
    <w:p w:rsidR="00000000" w:rsidDel="00000000" w:rsidP="00000000" w:rsidRDefault="00000000" w:rsidRPr="00000000" w14:paraId="0000004C">
      <w:pPr>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The development of this plan has been informed by a number of sector activities and wide consultation.  In December 2018, Te Rōpū Niho Ora, in partnership with Te Ao Marama the Māori Dental Association, held an invited sector Think Tank.  </w:t>
      </w:r>
    </w:p>
    <w:p w:rsidR="00000000" w:rsidDel="00000000" w:rsidP="00000000" w:rsidRDefault="00000000" w:rsidRPr="00000000" w14:paraId="0000004D">
      <w:pPr>
        <w:ind w:right="-52"/>
        <w:jc w:val="both"/>
        <w:rPr>
          <w:rFonts w:ascii="Quattrocento Sans" w:cs="Quattrocento Sans" w:eastAsia="Quattrocento Sans" w:hAnsi="Quattrocento Sans"/>
          <w:sz w:val="22"/>
          <w:szCs w:val="22"/>
        </w:rPr>
      </w:pPr>
      <w:r w:rsidDel="00000000" w:rsidR="00000000" w:rsidRPr="00000000">
        <w:rPr>
          <w:rtl w:val="0"/>
        </w:rPr>
      </w:r>
    </w:p>
    <w:p w:rsidR="00000000" w:rsidDel="00000000" w:rsidP="00000000" w:rsidRDefault="00000000" w:rsidRPr="00000000" w14:paraId="0000004E">
      <w:pPr>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Comprising key experts from across the oral and broader health sectors, the Think Tank identified key issues impacting on whānau Māori, the barriers within current structures and practices that disadvantage Māori, and potential solutions.  The Think Tank bought a strategic focus to these issues, and discussed urgent and long-term changes needed to achieve oral health equity.</w:t>
      </w:r>
    </w:p>
    <w:p w:rsidR="00000000" w:rsidDel="00000000" w:rsidP="00000000" w:rsidRDefault="00000000" w:rsidRPr="00000000" w14:paraId="0000004F">
      <w:pPr>
        <w:ind w:right="-52"/>
        <w:jc w:val="both"/>
        <w:rPr>
          <w:rFonts w:ascii="Quattrocento Sans" w:cs="Quattrocento Sans" w:eastAsia="Quattrocento Sans" w:hAnsi="Quattrocento Sans"/>
          <w:sz w:val="22"/>
          <w:szCs w:val="22"/>
        </w:rPr>
      </w:pPr>
      <w:r w:rsidDel="00000000" w:rsidR="00000000" w:rsidRPr="00000000">
        <w:rPr>
          <w:rtl w:val="0"/>
        </w:rPr>
      </w:r>
    </w:p>
    <w:p w:rsidR="00000000" w:rsidDel="00000000" w:rsidP="00000000" w:rsidRDefault="00000000" w:rsidRPr="00000000" w14:paraId="00000050">
      <w:pPr>
        <w:ind w:right="-52"/>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A Māori Oral Health Equity Matrix (‘the matrix’) was developed from the Think Tank, and subsequently circulated to wider stakeholders for feedback.  A national Māori Oral Health Equity Symposium held in October 2019 provided a further opportunity to gather sector-wide input on the matrix priorities and activities, through workshops built into the programme.  The Symposium had a cross representation of oral health, health, and Māori health, and non-health sector stakeholders.      </w:t>
      </w:r>
    </w:p>
    <w:p w:rsidR="00000000" w:rsidDel="00000000" w:rsidP="00000000" w:rsidRDefault="00000000" w:rsidRPr="00000000" w14:paraId="00000051">
      <w:pPr>
        <w:jc w:val="both"/>
        <w:rPr>
          <w:rFonts w:ascii="Quattrocento Sans" w:cs="Quattrocento Sans" w:eastAsia="Quattrocento Sans" w:hAnsi="Quattrocento Sans"/>
          <w:sz w:val="22"/>
          <w:szCs w:val="22"/>
        </w:rPr>
      </w:pPr>
      <w:r w:rsidDel="00000000" w:rsidR="00000000" w:rsidRPr="00000000">
        <w:rPr>
          <w:rtl w:val="0"/>
        </w:rPr>
      </w:r>
    </w:p>
    <w:p w:rsidR="00000000" w:rsidDel="00000000" w:rsidP="00000000" w:rsidRDefault="00000000" w:rsidRPr="00000000" w14:paraId="00000052">
      <w:pPr>
        <w:ind w:right="-52"/>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Finally, an analysis of the discussion generated by the symposium workshops – and supported by an expert advisory group, identified four main priorities to focus efforts over the next three years.  The four priority areas are:  </w:t>
      </w:r>
    </w:p>
    <w:p w:rsidR="00000000" w:rsidDel="00000000" w:rsidP="00000000" w:rsidRDefault="00000000" w:rsidRPr="00000000" w14:paraId="00000053">
      <w:pPr>
        <w:jc w:val="both"/>
        <w:rPr>
          <w:rFonts w:ascii="Quattrocento Sans" w:cs="Quattrocento Sans" w:eastAsia="Quattrocento Sans" w:hAnsi="Quattrocento Sans"/>
          <w:sz w:val="22"/>
          <w:szCs w:val="22"/>
        </w:rPr>
      </w:pPr>
      <w:r w:rsidDel="00000000" w:rsidR="00000000" w:rsidRPr="00000000">
        <w:rPr>
          <w:rtl w:val="0"/>
        </w:rPr>
      </w:r>
    </w:p>
    <w:p w:rsidR="00000000" w:rsidDel="00000000" w:rsidP="00000000" w:rsidRDefault="00000000" w:rsidRPr="00000000" w14:paraId="00000054">
      <w:pPr>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Priority 1: Achieving an equitable oral health system</w:t>
      </w:r>
    </w:p>
    <w:p w:rsidR="00000000" w:rsidDel="00000000" w:rsidP="00000000" w:rsidRDefault="00000000" w:rsidRPr="00000000" w14:paraId="00000055">
      <w:pPr>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Priority 2: Responsive oral health services</w:t>
      </w:r>
    </w:p>
    <w:p w:rsidR="00000000" w:rsidDel="00000000" w:rsidP="00000000" w:rsidRDefault="00000000" w:rsidRPr="00000000" w14:paraId="00000056">
      <w:pPr>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Priority 3: Greater wh</w:t>
      </w:r>
      <m:oMath>
        <m:r>
          <w:rPr>
            <w:rFonts w:ascii="Cambria Math" w:cs="Cambria Math" w:eastAsia="Cambria Math" w:hAnsi="Cambria Math"/>
            <w:sz w:val="22"/>
            <w:szCs w:val="22"/>
          </w:rPr>
          <m:t xml:space="preserve">ā</m:t>
        </m:r>
      </m:oMath>
      <w:r w:rsidDel="00000000" w:rsidR="00000000" w:rsidRPr="00000000">
        <w:rPr>
          <w:rFonts w:ascii="Quattrocento Sans" w:cs="Quattrocento Sans" w:eastAsia="Quattrocento Sans" w:hAnsi="Quattrocento Sans"/>
          <w:sz w:val="22"/>
          <w:szCs w:val="22"/>
          <w:rtl w:val="0"/>
        </w:rPr>
        <w:t xml:space="preserve">nau participation</w:t>
      </w:r>
    </w:p>
    <w:p w:rsidR="00000000" w:rsidDel="00000000" w:rsidP="00000000" w:rsidRDefault="00000000" w:rsidRPr="00000000" w14:paraId="00000057">
      <w:pPr>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Priority 4: Building a fit for purpose oral health workforce</w:t>
      </w:r>
    </w:p>
    <w:p w:rsidR="00000000" w:rsidDel="00000000" w:rsidP="00000000" w:rsidRDefault="00000000" w:rsidRPr="00000000" w14:paraId="00000058">
      <w:pP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59">
      <w:pP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5A">
      <w:pPr>
        <w:rPr>
          <w:rFonts w:ascii="Quattrocento Sans" w:cs="Quattrocento Sans" w:eastAsia="Quattrocento Sans" w:hAnsi="Quattrocento Sans"/>
          <w:b w:val="1"/>
          <w:sz w:val="20"/>
          <w:szCs w:val="20"/>
        </w:rPr>
        <w:sectPr>
          <w:footerReference r:id="rId9" w:type="default"/>
          <w:footerReference r:id="rId10" w:type="even"/>
          <w:pgSz w:h="16840" w:w="11900" w:orient="portrait"/>
          <w:pgMar w:bottom="1440" w:top="1440" w:left="1440" w:right="1440" w:header="709" w:footer="709"/>
          <w:pgNumType w:start="1"/>
        </w:sectPr>
      </w:pPr>
      <w:r w:rsidDel="00000000" w:rsidR="00000000" w:rsidRPr="00000000">
        <w:rPr>
          <w:rtl w:val="0"/>
        </w:rPr>
      </w:r>
    </w:p>
    <w:p w:rsidR="00000000" w:rsidDel="00000000" w:rsidP="00000000" w:rsidRDefault="00000000" w:rsidRPr="00000000" w14:paraId="0000005B">
      <w:pPr>
        <w:jc w:val="both"/>
        <w:rPr>
          <w:rFonts w:ascii="Quattrocento Sans" w:cs="Quattrocento Sans" w:eastAsia="Quattrocento Sans" w:hAnsi="Quattrocento Sans"/>
          <w:b w:val="1"/>
          <w:color w:val="1f3864"/>
          <w:sz w:val="40"/>
          <w:szCs w:val="40"/>
        </w:rPr>
      </w:pPr>
      <w:bookmarkStart w:colFirst="0" w:colLast="0" w:name="_heading=h.3dexqx4i0dcw" w:id="6"/>
      <w:bookmarkEnd w:id="6"/>
      <w:r w:rsidDel="00000000" w:rsidR="00000000" w:rsidRPr="00000000">
        <w:rPr>
          <w:rFonts w:ascii="Quattrocento Sans" w:cs="Quattrocento Sans" w:eastAsia="Quattrocento Sans" w:hAnsi="Quattrocento Sans"/>
          <w:b w:val="1"/>
          <w:color w:val="1f3864"/>
          <w:sz w:val="40"/>
          <w:szCs w:val="40"/>
          <w:rtl w:val="0"/>
        </w:rPr>
        <w:t xml:space="preserve">Priority 1:  Achieving an equitable oral health system</w:t>
      </w:r>
    </w:p>
    <w:p w:rsidR="00000000" w:rsidDel="00000000" w:rsidP="00000000" w:rsidRDefault="00000000" w:rsidRPr="00000000" w14:paraId="0000005C">
      <w:pPr>
        <w:jc w:val="both"/>
        <w:rPr>
          <w:rFonts w:ascii="Quattrocento Sans" w:cs="Quattrocento Sans" w:eastAsia="Quattrocento Sans" w:hAnsi="Quattrocento Sans"/>
          <w:b w:val="1"/>
          <w:color w:val="2f5496"/>
          <w:sz w:val="20"/>
          <w:szCs w:val="20"/>
        </w:rPr>
      </w:pPr>
      <w:r w:rsidDel="00000000" w:rsidR="00000000" w:rsidRPr="00000000">
        <w:rPr>
          <w:rtl w:val="0"/>
        </w:rPr>
      </w:r>
    </w:p>
    <w:tbl>
      <w:tblPr>
        <w:tblStyle w:val="Table1"/>
        <w:tblW w:w="14223.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4"/>
        <w:gridCol w:w="5103"/>
        <w:gridCol w:w="1701"/>
        <w:gridCol w:w="709"/>
        <w:gridCol w:w="1417"/>
        <w:gridCol w:w="3402"/>
        <w:gridCol w:w="1187"/>
        <w:tblGridChange w:id="0">
          <w:tblGrid>
            <w:gridCol w:w="704"/>
            <w:gridCol w:w="5103"/>
            <w:gridCol w:w="1701"/>
            <w:gridCol w:w="709"/>
            <w:gridCol w:w="1417"/>
            <w:gridCol w:w="3402"/>
            <w:gridCol w:w="1187"/>
          </w:tblGrid>
        </w:tblGridChange>
      </w:tblGrid>
      <w:tr>
        <w:trPr>
          <w:cantSplit w:val="0"/>
          <w:trHeight w:val="452" w:hRule="atLeast"/>
          <w:tblHeader w:val="0"/>
        </w:trPr>
        <w:tc>
          <w:tcPr>
            <w:shd w:fill="e7e6e6" w:val="clear"/>
          </w:tcPr>
          <w:p w:rsidR="00000000" w:rsidDel="00000000" w:rsidP="00000000" w:rsidRDefault="00000000" w:rsidRPr="00000000" w14:paraId="0000005D">
            <w:pPr>
              <w:spacing w:after="60" w:before="60" w:lineRule="auto"/>
              <w:jc w:val="both"/>
              <w:rPr>
                <w:rFonts w:ascii="Quattrocento Sans" w:cs="Quattrocento Sans" w:eastAsia="Quattrocento Sans" w:hAnsi="Quattrocento Sans"/>
                <w:b w:val="1"/>
                <w:sz w:val="20"/>
                <w:szCs w:val="20"/>
              </w:rPr>
            </w:pPr>
            <w:r w:rsidDel="00000000" w:rsidR="00000000" w:rsidRPr="00000000">
              <w:rPr>
                <w:rtl w:val="0"/>
              </w:rPr>
            </w:r>
          </w:p>
        </w:tc>
        <w:tc>
          <w:tcPr>
            <w:shd w:fill="e7e6e6" w:val="clear"/>
          </w:tcPr>
          <w:p w:rsidR="00000000" w:rsidDel="00000000" w:rsidP="00000000" w:rsidRDefault="00000000" w:rsidRPr="00000000" w14:paraId="0000005E">
            <w:pPr>
              <w:spacing w:after="60" w:before="60" w:lineRule="auto"/>
              <w:jc w:val="both"/>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Action</w:t>
            </w:r>
          </w:p>
        </w:tc>
        <w:tc>
          <w:tcPr>
            <w:shd w:fill="e7e6e6" w:val="clear"/>
          </w:tcPr>
          <w:p w:rsidR="00000000" w:rsidDel="00000000" w:rsidP="00000000" w:rsidRDefault="00000000" w:rsidRPr="00000000" w14:paraId="0000005F">
            <w:pPr>
              <w:spacing w:after="60" w:before="60" w:lineRule="auto"/>
              <w:jc w:val="both"/>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Lead</w:t>
            </w:r>
          </w:p>
        </w:tc>
        <w:tc>
          <w:tcPr>
            <w:shd w:fill="e7e6e6" w:val="clear"/>
          </w:tcPr>
          <w:p w:rsidR="00000000" w:rsidDel="00000000" w:rsidP="00000000" w:rsidRDefault="00000000" w:rsidRPr="00000000" w14:paraId="00000060">
            <w:pPr>
              <w:spacing w:after="60" w:before="60" w:lineRule="auto"/>
              <w:jc w:val="both"/>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Year</w:t>
            </w:r>
          </w:p>
          <w:p w:rsidR="00000000" w:rsidDel="00000000" w:rsidP="00000000" w:rsidRDefault="00000000" w:rsidRPr="00000000" w14:paraId="00000061">
            <w:pPr>
              <w:spacing w:after="60" w:before="60" w:lineRule="auto"/>
              <w:jc w:val="both"/>
              <w:rPr>
                <w:rFonts w:ascii="Quattrocento Sans" w:cs="Quattrocento Sans" w:eastAsia="Quattrocento Sans" w:hAnsi="Quattrocento Sans"/>
                <w:b w:val="1"/>
              </w:rPr>
            </w:pPr>
            <w:r w:rsidDel="00000000" w:rsidR="00000000" w:rsidRPr="00000000">
              <w:rPr>
                <w:rtl w:val="0"/>
              </w:rPr>
            </w:r>
          </w:p>
        </w:tc>
        <w:tc>
          <w:tcPr>
            <w:shd w:fill="e7e6e6" w:val="clear"/>
          </w:tcPr>
          <w:p w:rsidR="00000000" w:rsidDel="00000000" w:rsidP="00000000" w:rsidRDefault="00000000" w:rsidRPr="00000000" w14:paraId="00000062">
            <w:pPr>
              <w:spacing w:after="60" w:before="60" w:lineRule="auto"/>
              <w:jc w:val="both"/>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Investment </w:t>
            </w:r>
          </w:p>
        </w:tc>
        <w:tc>
          <w:tcPr>
            <w:shd w:fill="e7e6e6" w:val="clear"/>
          </w:tcPr>
          <w:p w:rsidR="00000000" w:rsidDel="00000000" w:rsidP="00000000" w:rsidRDefault="00000000" w:rsidRPr="00000000" w14:paraId="00000063">
            <w:pPr>
              <w:spacing w:after="60" w:before="60" w:lineRule="auto"/>
              <w:jc w:val="both"/>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Measuring Success</w:t>
            </w:r>
          </w:p>
        </w:tc>
        <w:tc>
          <w:tcPr>
            <w:shd w:fill="e7e6e6" w:val="clear"/>
          </w:tcPr>
          <w:p w:rsidR="00000000" w:rsidDel="00000000" w:rsidP="00000000" w:rsidRDefault="00000000" w:rsidRPr="00000000" w14:paraId="00000064">
            <w:pPr>
              <w:spacing w:after="60" w:before="60" w:lineRule="auto"/>
              <w:jc w:val="both"/>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Impact</w:t>
            </w:r>
          </w:p>
        </w:tc>
      </w:tr>
      <w:tr>
        <w:trPr>
          <w:cantSplit w:val="0"/>
          <w:trHeight w:val="359" w:hRule="atLeast"/>
          <w:tblHeader w:val="0"/>
        </w:trPr>
        <w:tc>
          <w:tcPr>
            <w:gridSpan w:val="7"/>
          </w:tcPr>
          <w:p w:rsidR="00000000" w:rsidDel="00000000" w:rsidP="00000000" w:rsidRDefault="00000000" w:rsidRPr="00000000" w14:paraId="00000065">
            <w:pPr>
              <w:spacing w:after="60" w:before="60" w:lineRule="auto"/>
              <w:jc w:val="both"/>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Disruptive fundamental change</w:t>
            </w:r>
          </w:p>
        </w:tc>
      </w:tr>
      <w:tr>
        <w:trPr>
          <w:cantSplit w:val="0"/>
          <w:trHeight w:val="359" w:hRule="atLeast"/>
          <w:tblHeader w:val="0"/>
        </w:trPr>
        <w:tc>
          <w:tcPr/>
          <w:p w:rsidR="00000000" w:rsidDel="00000000" w:rsidP="00000000" w:rsidRDefault="00000000" w:rsidRPr="00000000" w14:paraId="0000006C">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1.1 </w:t>
            </w:r>
          </w:p>
        </w:tc>
        <w:tc>
          <w:tcPr/>
          <w:p w:rsidR="00000000" w:rsidDel="00000000" w:rsidP="00000000" w:rsidRDefault="00000000" w:rsidRPr="00000000" w14:paraId="0000006D">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Commission model/s of care that provide quality oral health services across the lifecourse. Key elements: responsive to Māori, best practice for Māori, integrated with primary care, flexible workforce, flexible hours, whānau centric, community centric, focus on oral health prevention and promotion (Ministry of Health, 2006). </w:t>
            </w:r>
          </w:p>
        </w:tc>
        <w:tc>
          <w:tcPr/>
          <w:p w:rsidR="00000000" w:rsidDel="00000000" w:rsidP="00000000" w:rsidRDefault="00000000" w:rsidRPr="00000000" w14:paraId="0000006E">
            <w:pPr>
              <w:jc w:val="both"/>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20"/>
                <w:szCs w:val="20"/>
                <w:rtl w:val="0"/>
              </w:rPr>
              <w:t xml:space="preserve">Te Rōpū Niho Ora</w:t>
            </w:r>
            <w:r w:rsidDel="00000000" w:rsidR="00000000" w:rsidRPr="00000000">
              <w:rPr>
                <w:rtl w:val="0"/>
              </w:rPr>
            </w:r>
          </w:p>
          <w:p w:rsidR="00000000" w:rsidDel="00000000" w:rsidP="00000000" w:rsidRDefault="00000000" w:rsidRPr="00000000" w14:paraId="0000006F">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Partners: NZDA, Te Ao Marama, NZCGP, Te Ora, MOH</w:t>
            </w:r>
          </w:p>
        </w:tc>
        <w:tc>
          <w:tcPr/>
          <w:p w:rsidR="00000000" w:rsidDel="00000000" w:rsidP="00000000" w:rsidRDefault="00000000" w:rsidRPr="00000000" w14:paraId="00000070">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1-3</w:t>
            </w:r>
          </w:p>
        </w:tc>
        <w:tc>
          <w:tcPr/>
          <w:p w:rsidR="00000000" w:rsidDel="00000000" w:rsidP="00000000" w:rsidRDefault="00000000" w:rsidRPr="00000000" w14:paraId="00000071">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New and existing</w:t>
            </w:r>
          </w:p>
        </w:tc>
        <w:tc>
          <w:tcPr/>
          <w:p w:rsidR="00000000" w:rsidDel="00000000" w:rsidP="00000000" w:rsidRDefault="00000000" w:rsidRPr="00000000" w14:paraId="00000072">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New oral health model for Māori developed with key elements are included, and adopted</w:t>
            </w:r>
          </w:p>
        </w:tc>
        <w:tc>
          <w:tcPr/>
          <w:p w:rsidR="00000000" w:rsidDel="00000000" w:rsidP="00000000" w:rsidRDefault="00000000" w:rsidRPr="00000000" w14:paraId="00000073">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Future gain</w:t>
            </w:r>
          </w:p>
          <w:p w:rsidR="00000000" w:rsidDel="00000000" w:rsidP="00000000" w:rsidRDefault="00000000" w:rsidRPr="00000000" w14:paraId="00000074">
            <w:pPr>
              <w:spacing w:after="60" w:before="60" w:lineRule="auto"/>
              <w:jc w:val="both"/>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75">
            <w:pPr>
              <w:spacing w:after="60" w:before="60" w:lineRule="auto"/>
              <w:jc w:val="both"/>
              <w:rPr>
                <w:rFonts w:ascii="Quattrocento Sans" w:cs="Quattrocento Sans" w:eastAsia="Quattrocento Sans" w:hAnsi="Quattrocento Sans"/>
                <w:sz w:val="20"/>
                <w:szCs w:val="20"/>
              </w:rPr>
            </w:pPr>
            <w:r w:rsidDel="00000000" w:rsidR="00000000" w:rsidRPr="00000000">
              <w:rPr>
                <w:rtl w:val="0"/>
              </w:rPr>
            </w:r>
          </w:p>
        </w:tc>
      </w:tr>
      <w:tr>
        <w:trPr>
          <w:cantSplit w:val="0"/>
          <w:trHeight w:val="359" w:hRule="atLeast"/>
          <w:tblHeader w:val="0"/>
        </w:trPr>
        <w:tc>
          <w:tcPr>
            <w:gridSpan w:val="7"/>
          </w:tcPr>
          <w:p w:rsidR="00000000" w:rsidDel="00000000" w:rsidP="00000000" w:rsidRDefault="00000000" w:rsidRPr="00000000" w14:paraId="00000076">
            <w:pPr>
              <w:spacing w:after="60" w:before="60" w:lineRule="auto"/>
              <w:jc w:val="both"/>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An equitable national approach</w:t>
            </w:r>
          </w:p>
        </w:tc>
      </w:tr>
      <w:tr>
        <w:trPr>
          <w:cantSplit w:val="0"/>
          <w:trHeight w:val="359" w:hRule="atLeast"/>
          <w:tblHeader w:val="0"/>
        </w:trPr>
        <w:tc>
          <w:tcPr/>
          <w:p w:rsidR="00000000" w:rsidDel="00000000" w:rsidP="00000000" w:rsidRDefault="00000000" w:rsidRPr="00000000" w14:paraId="0000007D">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1.2</w:t>
            </w:r>
          </w:p>
        </w:tc>
        <w:tc>
          <w:tcPr/>
          <w:p w:rsidR="00000000" w:rsidDel="00000000" w:rsidP="00000000" w:rsidRDefault="00000000" w:rsidRPr="00000000" w14:paraId="0000007E">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Review the National Service Framework for the community oral health service and make explicit equity actions, expectations,  and accountabilties.</w:t>
            </w:r>
          </w:p>
        </w:tc>
        <w:tc>
          <w:tcPr/>
          <w:p w:rsidR="00000000" w:rsidDel="00000000" w:rsidP="00000000" w:rsidRDefault="00000000" w:rsidRPr="00000000" w14:paraId="0000007F">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MOH</w:t>
            </w:r>
          </w:p>
          <w:p w:rsidR="00000000" w:rsidDel="00000000" w:rsidP="00000000" w:rsidRDefault="00000000" w:rsidRPr="00000000" w14:paraId="00000080">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Partners: Te Rōpū Niho Ora, DHB COHS, Te Ao Marama</w:t>
            </w:r>
          </w:p>
        </w:tc>
        <w:tc>
          <w:tcPr/>
          <w:p w:rsidR="00000000" w:rsidDel="00000000" w:rsidP="00000000" w:rsidRDefault="00000000" w:rsidRPr="00000000" w14:paraId="00000081">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1</w:t>
            </w:r>
          </w:p>
        </w:tc>
        <w:tc>
          <w:tcPr/>
          <w:p w:rsidR="00000000" w:rsidDel="00000000" w:rsidP="00000000" w:rsidRDefault="00000000" w:rsidRPr="00000000" w14:paraId="00000082">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None</w:t>
            </w:r>
          </w:p>
          <w:p w:rsidR="00000000" w:rsidDel="00000000" w:rsidP="00000000" w:rsidRDefault="00000000" w:rsidRPr="00000000" w14:paraId="00000083">
            <w:pPr>
              <w:spacing w:after="60" w:before="60" w:lineRule="auto"/>
              <w:jc w:val="both"/>
              <w:rPr>
                <w:rFonts w:ascii="Quattrocento Sans" w:cs="Quattrocento Sans" w:eastAsia="Quattrocento Sans" w:hAnsi="Quattrocento Sans"/>
                <w:sz w:val="20"/>
                <w:szCs w:val="20"/>
              </w:rPr>
            </w:pPr>
            <w:r w:rsidDel="00000000" w:rsidR="00000000" w:rsidRPr="00000000">
              <w:rPr>
                <w:rtl w:val="0"/>
              </w:rPr>
            </w:r>
          </w:p>
        </w:tc>
        <w:tc>
          <w:tcPr/>
          <w:p w:rsidR="00000000" w:rsidDel="00000000" w:rsidP="00000000" w:rsidRDefault="00000000" w:rsidRPr="00000000" w14:paraId="00000084">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NSF reviewed and equity actions, expectations and accountabilites are explicit in revised version</w:t>
            </w:r>
          </w:p>
        </w:tc>
        <w:tc>
          <w:tcPr/>
          <w:p w:rsidR="00000000" w:rsidDel="00000000" w:rsidP="00000000" w:rsidRDefault="00000000" w:rsidRPr="00000000" w14:paraId="00000085">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Quick win</w:t>
            </w:r>
          </w:p>
          <w:p w:rsidR="00000000" w:rsidDel="00000000" w:rsidP="00000000" w:rsidRDefault="00000000" w:rsidRPr="00000000" w14:paraId="00000086">
            <w:pPr>
              <w:spacing w:after="60" w:before="60" w:lineRule="auto"/>
              <w:jc w:val="both"/>
              <w:rPr>
                <w:rFonts w:ascii="Quattrocento Sans" w:cs="Quattrocento Sans" w:eastAsia="Quattrocento Sans" w:hAnsi="Quattrocento Sans"/>
                <w:sz w:val="20"/>
                <w:szCs w:val="20"/>
              </w:rPr>
            </w:pPr>
            <w:r w:rsidDel="00000000" w:rsidR="00000000" w:rsidRPr="00000000">
              <w:rPr>
                <w:rtl w:val="0"/>
              </w:rPr>
            </w:r>
          </w:p>
        </w:tc>
      </w:tr>
      <w:tr>
        <w:trPr>
          <w:cantSplit w:val="0"/>
          <w:trHeight w:val="359" w:hRule="atLeast"/>
          <w:tblHeader w:val="0"/>
        </w:trPr>
        <w:tc>
          <w:tcPr/>
          <w:p w:rsidR="00000000" w:rsidDel="00000000" w:rsidP="00000000" w:rsidRDefault="00000000" w:rsidRPr="00000000" w14:paraId="00000087">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1.3</w:t>
            </w:r>
          </w:p>
        </w:tc>
        <w:tc>
          <w:tcPr/>
          <w:p w:rsidR="00000000" w:rsidDel="00000000" w:rsidP="00000000" w:rsidRDefault="00000000" w:rsidRPr="00000000" w14:paraId="00000088">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Reinstate, and make mandatory oral health promotion roles as an integral function of oral health services.</w:t>
            </w:r>
          </w:p>
        </w:tc>
        <w:tc>
          <w:tcPr/>
          <w:p w:rsidR="00000000" w:rsidDel="00000000" w:rsidP="00000000" w:rsidRDefault="00000000" w:rsidRPr="00000000" w14:paraId="00000089">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MOH</w:t>
            </w:r>
          </w:p>
        </w:tc>
        <w:tc>
          <w:tcPr/>
          <w:p w:rsidR="00000000" w:rsidDel="00000000" w:rsidP="00000000" w:rsidRDefault="00000000" w:rsidRPr="00000000" w14:paraId="0000008A">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2</w:t>
            </w:r>
          </w:p>
        </w:tc>
        <w:tc>
          <w:tcPr/>
          <w:p w:rsidR="00000000" w:rsidDel="00000000" w:rsidP="00000000" w:rsidRDefault="00000000" w:rsidRPr="00000000" w14:paraId="0000008B">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Required</w:t>
            </w:r>
          </w:p>
        </w:tc>
        <w:tc>
          <w:tcPr/>
          <w:p w:rsidR="00000000" w:rsidDel="00000000" w:rsidP="00000000" w:rsidRDefault="00000000" w:rsidRPr="00000000" w14:paraId="0000008C">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Promotion roles established; oral health services model is responsive to whānau needs; Whānau engagement improves</w:t>
            </w:r>
          </w:p>
        </w:tc>
        <w:tc>
          <w:tcPr/>
          <w:p w:rsidR="00000000" w:rsidDel="00000000" w:rsidP="00000000" w:rsidRDefault="00000000" w:rsidRPr="00000000" w14:paraId="0000008D">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Future gain</w:t>
            </w:r>
          </w:p>
        </w:tc>
      </w:tr>
      <w:tr>
        <w:trPr>
          <w:cantSplit w:val="0"/>
          <w:trHeight w:val="359" w:hRule="atLeast"/>
          <w:tblHeader w:val="0"/>
        </w:trPr>
        <w:tc>
          <w:tcPr/>
          <w:p w:rsidR="00000000" w:rsidDel="00000000" w:rsidP="00000000" w:rsidRDefault="00000000" w:rsidRPr="00000000" w14:paraId="0000008E">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1.4</w:t>
            </w:r>
          </w:p>
        </w:tc>
        <w:tc>
          <w:tcPr/>
          <w:p w:rsidR="00000000" w:rsidDel="00000000" w:rsidP="00000000" w:rsidRDefault="00000000" w:rsidRPr="00000000" w14:paraId="0000008F">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Integrate Kaupapa Māori oral health promotion, prevention, and education into National Service framework service specifications.</w:t>
            </w:r>
          </w:p>
        </w:tc>
        <w:tc>
          <w:tcPr/>
          <w:p w:rsidR="00000000" w:rsidDel="00000000" w:rsidP="00000000" w:rsidRDefault="00000000" w:rsidRPr="00000000" w14:paraId="00000090">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MOH</w:t>
            </w:r>
          </w:p>
        </w:tc>
        <w:tc>
          <w:tcPr/>
          <w:p w:rsidR="00000000" w:rsidDel="00000000" w:rsidP="00000000" w:rsidRDefault="00000000" w:rsidRPr="00000000" w14:paraId="00000091">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1-3</w:t>
            </w:r>
          </w:p>
        </w:tc>
        <w:tc>
          <w:tcPr/>
          <w:p w:rsidR="00000000" w:rsidDel="00000000" w:rsidP="00000000" w:rsidRDefault="00000000" w:rsidRPr="00000000" w14:paraId="00000092">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Required</w:t>
            </w:r>
          </w:p>
        </w:tc>
        <w:tc>
          <w:tcPr/>
          <w:p w:rsidR="00000000" w:rsidDel="00000000" w:rsidP="00000000" w:rsidRDefault="00000000" w:rsidRPr="00000000" w14:paraId="00000093">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An upstream and culturally safe approach to prevent dental disease and support good oral health in the home is established and implemented</w:t>
            </w:r>
          </w:p>
          <w:p w:rsidR="00000000" w:rsidDel="00000000" w:rsidP="00000000" w:rsidRDefault="00000000" w:rsidRPr="00000000" w14:paraId="00000094">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Whānau engagement improves</w:t>
            </w:r>
          </w:p>
        </w:tc>
        <w:tc>
          <w:tcPr/>
          <w:p w:rsidR="00000000" w:rsidDel="00000000" w:rsidP="00000000" w:rsidRDefault="00000000" w:rsidRPr="00000000" w14:paraId="00000095">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Future gain</w:t>
            </w:r>
          </w:p>
        </w:tc>
      </w:tr>
      <w:tr>
        <w:trPr>
          <w:cantSplit w:val="0"/>
          <w:trHeight w:val="359" w:hRule="atLeast"/>
          <w:tblHeader w:val="0"/>
        </w:trPr>
        <w:tc>
          <w:tcPr/>
          <w:p w:rsidR="00000000" w:rsidDel="00000000" w:rsidP="00000000" w:rsidRDefault="00000000" w:rsidRPr="00000000" w14:paraId="00000096">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1.5</w:t>
            </w:r>
          </w:p>
        </w:tc>
        <w:tc>
          <w:tcPr/>
          <w:p w:rsidR="00000000" w:rsidDel="00000000" w:rsidP="00000000" w:rsidRDefault="00000000" w:rsidRPr="00000000" w14:paraId="00000097">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Introduce a funding formula for universal proportionalism to take into account greater oral health needs of tamariki Māori, and secure total funding envelope. </w:t>
            </w:r>
          </w:p>
        </w:tc>
        <w:tc>
          <w:tcPr/>
          <w:p w:rsidR="00000000" w:rsidDel="00000000" w:rsidP="00000000" w:rsidRDefault="00000000" w:rsidRPr="00000000" w14:paraId="00000098">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MOH, DHB P&amp;F, Te Rōpū Niho Ora, TAS</w:t>
            </w:r>
          </w:p>
        </w:tc>
        <w:tc>
          <w:tcPr/>
          <w:p w:rsidR="00000000" w:rsidDel="00000000" w:rsidP="00000000" w:rsidRDefault="00000000" w:rsidRPr="00000000" w14:paraId="00000099">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1-3</w:t>
            </w:r>
          </w:p>
        </w:tc>
        <w:tc>
          <w:tcPr/>
          <w:p w:rsidR="00000000" w:rsidDel="00000000" w:rsidP="00000000" w:rsidRDefault="00000000" w:rsidRPr="00000000" w14:paraId="0000009A">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Shift</w:t>
            </w:r>
          </w:p>
        </w:tc>
        <w:tc>
          <w:tcPr/>
          <w:p w:rsidR="00000000" w:rsidDel="00000000" w:rsidP="00000000" w:rsidRDefault="00000000" w:rsidRPr="00000000" w14:paraId="0000009B">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Implementation of a universal proportionalism funding formula</w:t>
            </w:r>
          </w:p>
          <w:p w:rsidR="00000000" w:rsidDel="00000000" w:rsidP="00000000" w:rsidRDefault="00000000" w:rsidRPr="00000000" w14:paraId="0000009C">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Ring-fenced oral health funding that cannot be used by DHBs for other purposes</w:t>
            </w:r>
          </w:p>
        </w:tc>
        <w:tc>
          <w:tcPr/>
          <w:p w:rsidR="00000000" w:rsidDel="00000000" w:rsidP="00000000" w:rsidRDefault="00000000" w:rsidRPr="00000000" w14:paraId="0000009D">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Quick win</w:t>
            </w:r>
          </w:p>
        </w:tc>
      </w:tr>
      <w:tr>
        <w:trPr>
          <w:cantSplit w:val="0"/>
          <w:trHeight w:val="359" w:hRule="atLeast"/>
          <w:tblHeader w:val="0"/>
        </w:trPr>
        <w:tc>
          <w:tcPr/>
          <w:p w:rsidR="00000000" w:rsidDel="00000000" w:rsidP="00000000" w:rsidRDefault="00000000" w:rsidRPr="00000000" w14:paraId="0000009E">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1.6</w:t>
            </w:r>
          </w:p>
        </w:tc>
        <w:tc>
          <w:tcPr/>
          <w:p w:rsidR="00000000" w:rsidDel="00000000" w:rsidP="00000000" w:rsidRDefault="00000000" w:rsidRPr="00000000" w14:paraId="0000009F">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Establish national contracts for Māori oral health providers, with set minimum levels of funding, fair reporting, review and auditing practises/processes.</w:t>
            </w:r>
          </w:p>
        </w:tc>
        <w:tc>
          <w:tcPr/>
          <w:p w:rsidR="00000000" w:rsidDel="00000000" w:rsidP="00000000" w:rsidRDefault="00000000" w:rsidRPr="00000000" w14:paraId="000000A0">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MOH </w:t>
            </w:r>
          </w:p>
          <w:p w:rsidR="00000000" w:rsidDel="00000000" w:rsidP="00000000" w:rsidRDefault="00000000" w:rsidRPr="00000000" w14:paraId="000000A1">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Partners: Te Rōpū Niho Ora, DHB</w:t>
            </w:r>
          </w:p>
        </w:tc>
        <w:tc>
          <w:tcPr/>
          <w:p w:rsidR="00000000" w:rsidDel="00000000" w:rsidP="00000000" w:rsidRDefault="00000000" w:rsidRPr="00000000" w14:paraId="000000A2">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2</w:t>
            </w:r>
          </w:p>
        </w:tc>
        <w:tc>
          <w:tcPr/>
          <w:p w:rsidR="00000000" w:rsidDel="00000000" w:rsidP="00000000" w:rsidRDefault="00000000" w:rsidRPr="00000000" w14:paraId="000000A3">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Existing</w:t>
            </w:r>
          </w:p>
        </w:tc>
        <w:tc>
          <w:tcPr/>
          <w:p w:rsidR="00000000" w:rsidDel="00000000" w:rsidP="00000000" w:rsidRDefault="00000000" w:rsidRPr="00000000" w14:paraId="000000A4">
            <w:pPr>
              <w:spacing w:after="60" w:before="60" w:lineRule="auto"/>
              <w:jc w:val="both"/>
              <w:rPr>
                <w:rFonts w:ascii="Quattrocento Sans" w:cs="Quattrocento Sans" w:eastAsia="Quattrocento Sans" w:hAnsi="Quattrocento Sans"/>
                <w:color w:val="ff0000"/>
                <w:sz w:val="20"/>
                <w:szCs w:val="20"/>
              </w:rPr>
            </w:pPr>
            <w:r w:rsidDel="00000000" w:rsidR="00000000" w:rsidRPr="00000000">
              <w:rPr>
                <w:rFonts w:ascii="Quattrocento Sans" w:cs="Quattrocento Sans" w:eastAsia="Quattrocento Sans" w:hAnsi="Quattrocento Sans"/>
                <w:sz w:val="20"/>
                <w:szCs w:val="20"/>
                <w:rtl w:val="0"/>
              </w:rPr>
              <w:t xml:space="preserve">National contract developed and adopted</w:t>
            </w:r>
            <w:r w:rsidDel="00000000" w:rsidR="00000000" w:rsidRPr="00000000">
              <w:rPr>
                <w:rtl w:val="0"/>
              </w:rPr>
            </w:r>
          </w:p>
          <w:p w:rsidR="00000000" w:rsidDel="00000000" w:rsidP="00000000" w:rsidRDefault="00000000" w:rsidRPr="00000000" w14:paraId="000000A5">
            <w:pPr>
              <w:spacing w:after="60" w:before="60" w:lineRule="auto"/>
              <w:jc w:val="both"/>
              <w:rPr>
                <w:rFonts w:ascii="Quattrocento Sans" w:cs="Quattrocento Sans" w:eastAsia="Quattrocento Sans" w:hAnsi="Quattrocento Sans"/>
                <w:sz w:val="20"/>
                <w:szCs w:val="20"/>
              </w:rPr>
            </w:pPr>
            <w:r w:rsidDel="00000000" w:rsidR="00000000" w:rsidRPr="00000000">
              <w:rPr>
                <w:rtl w:val="0"/>
              </w:rPr>
            </w:r>
          </w:p>
        </w:tc>
        <w:tc>
          <w:tcPr/>
          <w:p w:rsidR="00000000" w:rsidDel="00000000" w:rsidP="00000000" w:rsidRDefault="00000000" w:rsidRPr="00000000" w14:paraId="000000A6">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Quick win</w:t>
            </w:r>
          </w:p>
        </w:tc>
      </w:tr>
      <w:tr>
        <w:trPr>
          <w:cantSplit w:val="0"/>
          <w:trHeight w:val="359" w:hRule="atLeast"/>
          <w:tblHeader w:val="0"/>
        </w:trPr>
        <w:tc>
          <w:tcPr>
            <w:gridSpan w:val="7"/>
          </w:tcPr>
          <w:p w:rsidR="00000000" w:rsidDel="00000000" w:rsidP="00000000" w:rsidRDefault="00000000" w:rsidRPr="00000000" w14:paraId="000000A7">
            <w:pPr>
              <w:spacing w:after="60" w:before="60" w:lineRule="auto"/>
              <w:jc w:val="both"/>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Supporting the oral health environment</w:t>
            </w:r>
          </w:p>
        </w:tc>
      </w:tr>
      <w:tr>
        <w:trPr>
          <w:cantSplit w:val="0"/>
          <w:trHeight w:val="359" w:hRule="atLeast"/>
          <w:tblHeader w:val="0"/>
        </w:trPr>
        <w:tc>
          <w:tcPr/>
          <w:p w:rsidR="00000000" w:rsidDel="00000000" w:rsidP="00000000" w:rsidRDefault="00000000" w:rsidRPr="00000000" w14:paraId="000000AE">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1.7</w:t>
            </w:r>
          </w:p>
        </w:tc>
        <w:tc>
          <w:tcPr/>
          <w:p w:rsidR="00000000" w:rsidDel="00000000" w:rsidP="00000000" w:rsidRDefault="00000000" w:rsidRPr="00000000" w14:paraId="000000AF">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Urgently advance second and third reading of the Health (Fluoridation of Drinking water) Amendment Bill.</w:t>
            </w:r>
          </w:p>
        </w:tc>
        <w:tc>
          <w:tcPr/>
          <w:p w:rsidR="00000000" w:rsidDel="00000000" w:rsidP="00000000" w:rsidRDefault="00000000" w:rsidRPr="00000000" w14:paraId="000000B0">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Te Rōpū Niho Ora, Te Ao Marama</w:t>
            </w:r>
          </w:p>
        </w:tc>
        <w:tc>
          <w:tcPr/>
          <w:p w:rsidR="00000000" w:rsidDel="00000000" w:rsidP="00000000" w:rsidRDefault="00000000" w:rsidRPr="00000000" w14:paraId="000000B1">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1</w:t>
            </w:r>
          </w:p>
        </w:tc>
        <w:tc>
          <w:tcPr/>
          <w:p w:rsidR="00000000" w:rsidDel="00000000" w:rsidP="00000000" w:rsidRDefault="00000000" w:rsidRPr="00000000" w14:paraId="000000B2">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None</w:t>
            </w:r>
          </w:p>
        </w:tc>
        <w:tc>
          <w:tcPr/>
          <w:p w:rsidR="00000000" w:rsidDel="00000000" w:rsidP="00000000" w:rsidRDefault="00000000" w:rsidRPr="00000000" w14:paraId="000000B3">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Amendment Bill is passed. </w:t>
            </w:r>
          </w:p>
          <w:p w:rsidR="00000000" w:rsidDel="00000000" w:rsidP="00000000" w:rsidRDefault="00000000" w:rsidRPr="00000000" w14:paraId="000000B4">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DHBs mandate to optimise fluoride to all community reticulated water supplies</w:t>
            </w:r>
          </w:p>
        </w:tc>
        <w:tc>
          <w:tcPr/>
          <w:p w:rsidR="00000000" w:rsidDel="00000000" w:rsidP="00000000" w:rsidRDefault="00000000" w:rsidRPr="00000000" w14:paraId="000000B5">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Quick win</w:t>
            </w:r>
          </w:p>
          <w:p w:rsidR="00000000" w:rsidDel="00000000" w:rsidP="00000000" w:rsidRDefault="00000000" w:rsidRPr="00000000" w14:paraId="000000B6">
            <w:pPr>
              <w:spacing w:after="60" w:before="60" w:lineRule="auto"/>
              <w:jc w:val="both"/>
              <w:rPr>
                <w:rFonts w:ascii="Quattrocento Sans" w:cs="Quattrocento Sans" w:eastAsia="Quattrocento Sans" w:hAnsi="Quattrocento Sans"/>
                <w:sz w:val="20"/>
                <w:szCs w:val="20"/>
              </w:rPr>
            </w:pPr>
            <w:r w:rsidDel="00000000" w:rsidR="00000000" w:rsidRPr="00000000">
              <w:rPr>
                <w:rtl w:val="0"/>
              </w:rPr>
            </w:r>
          </w:p>
        </w:tc>
      </w:tr>
      <w:tr>
        <w:trPr>
          <w:cantSplit w:val="0"/>
          <w:trHeight w:val="359" w:hRule="atLeast"/>
          <w:tblHeader w:val="0"/>
        </w:trPr>
        <w:tc>
          <w:tcPr/>
          <w:p w:rsidR="00000000" w:rsidDel="00000000" w:rsidP="00000000" w:rsidRDefault="00000000" w:rsidRPr="00000000" w14:paraId="000000B7">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1.8</w:t>
            </w:r>
          </w:p>
        </w:tc>
        <w:tc>
          <w:tcPr/>
          <w:p w:rsidR="00000000" w:rsidDel="00000000" w:rsidP="00000000" w:rsidRDefault="00000000" w:rsidRPr="00000000" w14:paraId="000000B8">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Work with Māori communities and marae to ensure access to fluoridated water supplies.</w:t>
            </w:r>
          </w:p>
        </w:tc>
        <w:tc>
          <w:tcPr/>
          <w:p w:rsidR="00000000" w:rsidDel="00000000" w:rsidP="00000000" w:rsidRDefault="00000000" w:rsidRPr="00000000" w14:paraId="000000B9">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DHB Public Health Units</w:t>
            </w:r>
          </w:p>
        </w:tc>
        <w:tc>
          <w:tcPr/>
          <w:p w:rsidR="00000000" w:rsidDel="00000000" w:rsidP="00000000" w:rsidRDefault="00000000" w:rsidRPr="00000000" w14:paraId="000000BA">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1-3</w:t>
            </w:r>
          </w:p>
        </w:tc>
        <w:tc>
          <w:tcPr/>
          <w:p w:rsidR="00000000" w:rsidDel="00000000" w:rsidP="00000000" w:rsidRDefault="00000000" w:rsidRPr="00000000" w14:paraId="000000BB">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Required</w:t>
            </w:r>
          </w:p>
        </w:tc>
        <w:tc>
          <w:tcPr/>
          <w:p w:rsidR="00000000" w:rsidDel="00000000" w:rsidP="00000000" w:rsidRDefault="00000000" w:rsidRPr="00000000" w14:paraId="000000BC">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Proportion of marae with access to a fluoridated water supply</w:t>
            </w:r>
          </w:p>
          <w:p w:rsidR="00000000" w:rsidDel="00000000" w:rsidP="00000000" w:rsidRDefault="00000000" w:rsidRPr="00000000" w14:paraId="000000BD">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Proportion of rural Māori communities with access to a fluoridated water supply</w:t>
            </w:r>
          </w:p>
        </w:tc>
        <w:tc>
          <w:tcPr/>
          <w:p w:rsidR="00000000" w:rsidDel="00000000" w:rsidP="00000000" w:rsidRDefault="00000000" w:rsidRPr="00000000" w14:paraId="000000BE">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Future gain</w:t>
            </w:r>
          </w:p>
        </w:tc>
      </w:tr>
      <w:tr>
        <w:trPr>
          <w:cantSplit w:val="0"/>
          <w:trHeight w:val="359" w:hRule="atLeast"/>
          <w:tblHeader w:val="0"/>
        </w:trPr>
        <w:tc>
          <w:tcPr/>
          <w:p w:rsidR="00000000" w:rsidDel="00000000" w:rsidP="00000000" w:rsidRDefault="00000000" w:rsidRPr="00000000" w14:paraId="000000BF">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1.9</w:t>
            </w:r>
          </w:p>
        </w:tc>
        <w:tc>
          <w:tcPr/>
          <w:p w:rsidR="00000000" w:rsidDel="00000000" w:rsidP="00000000" w:rsidRDefault="00000000" w:rsidRPr="00000000" w14:paraId="000000C0">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Ministry of Health to develop a national water only policy for all government entities.</w:t>
            </w:r>
          </w:p>
        </w:tc>
        <w:tc>
          <w:tcPr/>
          <w:p w:rsidR="00000000" w:rsidDel="00000000" w:rsidP="00000000" w:rsidRDefault="00000000" w:rsidRPr="00000000" w14:paraId="000000C1">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MOH</w:t>
            </w:r>
          </w:p>
        </w:tc>
        <w:tc>
          <w:tcPr/>
          <w:p w:rsidR="00000000" w:rsidDel="00000000" w:rsidP="00000000" w:rsidRDefault="00000000" w:rsidRPr="00000000" w14:paraId="000000C2">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1-2</w:t>
            </w:r>
          </w:p>
        </w:tc>
        <w:tc>
          <w:tcPr/>
          <w:p w:rsidR="00000000" w:rsidDel="00000000" w:rsidP="00000000" w:rsidRDefault="00000000" w:rsidRPr="00000000" w14:paraId="000000C3">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None</w:t>
            </w:r>
          </w:p>
        </w:tc>
        <w:tc>
          <w:tcPr/>
          <w:p w:rsidR="00000000" w:rsidDel="00000000" w:rsidP="00000000" w:rsidRDefault="00000000" w:rsidRPr="00000000" w14:paraId="000000C4">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Water only policies are developed and adopted</w:t>
            </w:r>
          </w:p>
        </w:tc>
        <w:tc>
          <w:tcPr/>
          <w:p w:rsidR="00000000" w:rsidDel="00000000" w:rsidP="00000000" w:rsidRDefault="00000000" w:rsidRPr="00000000" w14:paraId="000000C5">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Quick win</w:t>
            </w:r>
          </w:p>
        </w:tc>
      </w:tr>
      <w:tr>
        <w:trPr>
          <w:cantSplit w:val="0"/>
          <w:trHeight w:val="359" w:hRule="atLeast"/>
          <w:tblHeader w:val="0"/>
        </w:trPr>
        <w:tc>
          <w:tcPr/>
          <w:p w:rsidR="00000000" w:rsidDel="00000000" w:rsidP="00000000" w:rsidRDefault="00000000" w:rsidRPr="00000000" w14:paraId="000000C6">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1.10</w:t>
            </w:r>
          </w:p>
        </w:tc>
        <w:tc>
          <w:tcPr/>
          <w:p w:rsidR="00000000" w:rsidDel="00000000" w:rsidP="00000000" w:rsidRDefault="00000000" w:rsidRPr="00000000" w14:paraId="000000C7">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Introduce a sugary drinks tax to reduce consumption of sugary drinks and promote oral health (Teng et al, 2019).  </w:t>
            </w:r>
          </w:p>
        </w:tc>
        <w:tc>
          <w:tcPr/>
          <w:p w:rsidR="00000000" w:rsidDel="00000000" w:rsidP="00000000" w:rsidRDefault="00000000" w:rsidRPr="00000000" w14:paraId="000000C8">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SSB to lead </w:t>
            </w:r>
          </w:p>
          <w:p w:rsidR="00000000" w:rsidDel="00000000" w:rsidP="00000000" w:rsidRDefault="00000000" w:rsidRPr="00000000" w14:paraId="000000C9">
            <w:pPr>
              <w:spacing w:after="60" w:before="60" w:lineRule="auto"/>
              <w:jc w:val="both"/>
              <w:rPr>
                <w:rFonts w:ascii="Quattrocento Sans" w:cs="Quattrocento Sans" w:eastAsia="Quattrocento Sans" w:hAnsi="Quattrocento Sans"/>
                <w:sz w:val="20"/>
                <w:szCs w:val="20"/>
              </w:rPr>
            </w:pPr>
            <w:r w:rsidDel="00000000" w:rsidR="00000000" w:rsidRPr="00000000">
              <w:rPr>
                <w:rtl w:val="0"/>
              </w:rPr>
            </w:r>
          </w:p>
        </w:tc>
        <w:tc>
          <w:tcPr/>
          <w:p w:rsidR="00000000" w:rsidDel="00000000" w:rsidP="00000000" w:rsidRDefault="00000000" w:rsidRPr="00000000" w14:paraId="000000CA">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1-3</w:t>
            </w:r>
          </w:p>
        </w:tc>
        <w:tc>
          <w:tcPr/>
          <w:p w:rsidR="00000000" w:rsidDel="00000000" w:rsidP="00000000" w:rsidRDefault="00000000" w:rsidRPr="00000000" w14:paraId="000000CB">
            <w:pPr>
              <w:spacing w:after="60" w:before="60" w:lineRule="auto"/>
              <w:jc w:val="both"/>
              <w:rPr>
                <w:rFonts w:ascii="Quattrocento Sans" w:cs="Quattrocento Sans" w:eastAsia="Quattrocento Sans" w:hAnsi="Quattrocento Sans"/>
                <w:sz w:val="20"/>
                <w:szCs w:val="20"/>
              </w:rPr>
            </w:pPr>
            <w:r w:rsidDel="00000000" w:rsidR="00000000" w:rsidRPr="00000000">
              <w:rPr>
                <w:rtl w:val="0"/>
              </w:rPr>
            </w:r>
          </w:p>
        </w:tc>
        <w:tc>
          <w:tcPr/>
          <w:p w:rsidR="00000000" w:rsidDel="00000000" w:rsidP="00000000" w:rsidRDefault="00000000" w:rsidRPr="00000000" w14:paraId="000000CC">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A reduction in the consumption of sugary drinks</w:t>
            </w:r>
          </w:p>
          <w:p w:rsidR="00000000" w:rsidDel="00000000" w:rsidP="00000000" w:rsidRDefault="00000000" w:rsidRPr="00000000" w14:paraId="000000CD">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Improvements in caries experience for tamariki and rangatahi Māori</w:t>
            </w:r>
          </w:p>
        </w:tc>
        <w:tc>
          <w:tcPr/>
          <w:p w:rsidR="00000000" w:rsidDel="00000000" w:rsidP="00000000" w:rsidRDefault="00000000" w:rsidRPr="00000000" w14:paraId="000000CE">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Quick win</w:t>
            </w:r>
          </w:p>
        </w:tc>
      </w:tr>
      <w:tr>
        <w:trPr>
          <w:cantSplit w:val="0"/>
          <w:trHeight w:val="359" w:hRule="atLeast"/>
          <w:tblHeader w:val="0"/>
        </w:trPr>
        <w:tc>
          <w:tcPr/>
          <w:p w:rsidR="00000000" w:rsidDel="00000000" w:rsidP="00000000" w:rsidRDefault="00000000" w:rsidRPr="00000000" w14:paraId="000000CF">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1.11</w:t>
            </w:r>
          </w:p>
        </w:tc>
        <w:tc>
          <w:tcPr/>
          <w:p w:rsidR="00000000" w:rsidDel="00000000" w:rsidP="00000000" w:rsidRDefault="00000000" w:rsidRPr="00000000" w14:paraId="000000D0">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Review, recommend and establish evidence-based fiscal measures to enable better oral health e.g. subsidies on healthy food to increase consumption of healthy kai, and taxes on unhealthy food.</w:t>
            </w:r>
          </w:p>
        </w:tc>
        <w:tc>
          <w:tcPr/>
          <w:p w:rsidR="00000000" w:rsidDel="00000000" w:rsidP="00000000" w:rsidRDefault="00000000" w:rsidRPr="00000000" w14:paraId="000000D1">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MOH</w:t>
            </w:r>
          </w:p>
        </w:tc>
        <w:tc>
          <w:tcPr/>
          <w:p w:rsidR="00000000" w:rsidDel="00000000" w:rsidP="00000000" w:rsidRDefault="00000000" w:rsidRPr="00000000" w14:paraId="000000D2">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1.3</w:t>
            </w:r>
          </w:p>
        </w:tc>
        <w:tc>
          <w:tcPr/>
          <w:p w:rsidR="00000000" w:rsidDel="00000000" w:rsidP="00000000" w:rsidRDefault="00000000" w:rsidRPr="00000000" w14:paraId="000000D3">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None</w:t>
            </w:r>
          </w:p>
        </w:tc>
        <w:tc>
          <w:tcPr/>
          <w:p w:rsidR="00000000" w:rsidDel="00000000" w:rsidP="00000000" w:rsidRDefault="00000000" w:rsidRPr="00000000" w14:paraId="000000D4">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Review completed, remedial actions, and recommendations to achieve equity gain for Māori </w:t>
            </w:r>
          </w:p>
        </w:tc>
        <w:tc>
          <w:tcPr/>
          <w:p w:rsidR="00000000" w:rsidDel="00000000" w:rsidP="00000000" w:rsidRDefault="00000000" w:rsidRPr="00000000" w14:paraId="000000D5">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Quick win</w:t>
            </w:r>
          </w:p>
        </w:tc>
      </w:tr>
      <w:tr>
        <w:trPr>
          <w:cantSplit w:val="0"/>
          <w:trHeight w:val="359" w:hRule="atLeast"/>
          <w:tblHeader w:val="0"/>
        </w:trPr>
        <w:tc>
          <w:tcPr/>
          <w:p w:rsidR="00000000" w:rsidDel="00000000" w:rsidP="00000000" w:rsidRDefault="00000000" w:rsidRPr="00000000" w14:paraId="000000D6">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1.12</w:t>
            </w:r>
          </w:p>
        </w:tc>
        <w:tc>
          <w:tcPr/>
          <w:p w:rsidR="00000000" w:rsidDel="00000000" w:rsidP="00000000" w:rsidRDefault="00000000" w:rsidRPr="00000000" w14:paraId="000000D7">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Make oral health and oral health equity a whole of Government approach especially MOH, MSD, TPK, Oranga Tamariki, research funders, and treasury.</w:t>
            </w:r>
          </w:p>
        </w:tc>
        <w:tc>
          <w:tcPr/>
          <w:p w:rsidR="00000000" w:rsidDel="00000000" w:rsidP="00000000" w:rsidRDefault="00000000" w:rsidRPr="00000000" w14:paraId="000000D8">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MOH</w:t>
            </w:r>
          </w:p>
        </w:tc>
        <w:tc>
          <w:tcPr/>
          <w:p w:rsidR="00000000" w:rsidDel="00000000" w:rsidP="00000000" w:rsidRDefault="00000000" w:rsidRPr="00000000" w14:paraId="000000D9">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1-3</w:t>
            </w:r>
          </w:p>
        </w:tc>
        <w:tc>
          <w:tcPr/>
          <w:p w:rsidR="00000000" w:rsidDel="00000000" w:rsidP="00000000" w:rsidRDefault="00000000" w:rsidRPr="00000000" w14:paraId="000000DA">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None</w:t>
            </w:r>
          </w:p>
        </w:tc>
        <w:tc>
          <w:tcPr/>
          <w:p w:rsidR="00000000" w:rsidDel="00000000" w:rsidP="00000000" w:rsidRDefault="00000000" w:rsidRPr="00000000" w14:paraId="000000DB">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Get oral health on the agenda of existing cross-agency groups</w:t>
            </w:r>
          </w:p>
        </w:tc>
        <w:tc>
          <w:tcPr/>
          <w:p w:rsidR="00000000" w:rsidDel="00000000" w:rsidP="00000000" w:rsidRDefault="00000000" w:rsidRPr="00000000" w14:paraId="000000DC">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Quick win</w:t>
            </w:r>
          </w:p>
        </w:tc>
      </w:tr>
      <w:tr>
        <w:trPr>
          <w:cantSplit w:val="0"/>
          <w:trHeight w:val="359" w:hRule="atLeast"/>
          <w:tblHeader w:val="0"/>
        </w:trPr>
        <w:tc>
          <w:tcPr/>
          <w:p w:rsidR="00000000" w:rsidDel="00000000" w:rsidP="00000000" w:rsidRDefault="00000000" w:rsidRPr="00000000" w14:paraId="000000DD">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1.13</w:t>
            </w:r>
          </w:p>
        </w:tc>
        <w:tc>
          <w:tcPr/>
          <w:p w:rsidR="00000000" w:rsidDel="00000000" w:rsidP="00000000" w:rsidRDefault="00000000" w:rsidRPr="00000000" w14:paraId="000000DE">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Investigate and identify actions to address the impact of poverty and social determinants on oral health equity for Māori.</w:t>
            </w:r>
          </w:p>
        </w:tc>
        <w:tc>
          <w:tcPr/>
          <w:p w:rsidR="00000000" w:rsidDel="00000000" w:rsidP="00000000" w:rsidRDefault="00000000" w:rsidRPr="00000000" w14:paraId="000000DF">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Research Groups</w:t>
            </w:r>
          </w:p>
        </w:tc>
        <w:tc>
          <w:tcPr/>
          <w:p w:rsidR="00000000" w:rsidDel="00000000" w:rsidP="00000000" w:rsidRDefault="00000000" w:rsidRPr="00000000" w14:paraId="000000E0">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1-3</w:t>
            </w:r>
          </w:p>
        </w:tc>
        <w:tc>
          <w:tcPr/>
          <w:p w:rsidR="00000000" w:rsidDel="00000000" w:rsidP="00000000" w:rsidRDefault="00000000" w:rsidRPr="00000000" w14:paraId="000000E1">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Required</w:t>
            </w:r>
          </w:p>
        </w:tc>
        <w:tc>
          <w:tcPr/>
          <w:p w:rsidR="00000000" w:rsidDel="00000000" w:rsidP="00000000" w:rsidRDefault="00000000" w:rsidRPr="00000000" w14:paraId="000000E2">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Social impacts on inequity for Māori are understood and structural solutions identified</w:t>
            </w:r>
          </w:p>
        </w:tc>
        <w:tc>
          <w:tcPr/>
          <w:p w:rsidR="00000000" w:rsidDel="00000000" w:rsidP="00000000" w:rsidRDefault="00000000" w:rsidRPr="00000000" w14:paraId="000000E3">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Future gain</w:t>
            </w:r>
          </w:p>
        </w:tc>
      </w:tr>
      <w:tr>
        <w:trPr>
          <w:cantSplit w:val="0"/>
          <w:trHeight w:val="359" w:hRule="atLeast"/>
          <w:tblHeader w:val="0"/>
        </w:trPr>
        <w:tc>
          <w:tcPr>
            <w:gridSpan w:val="7"/>
          </w:tcPr>
          <w:p w:rsidR="00000000" w:rsidDel="00000000" w:rsidP="00000000" w:rsidRDefault="00000000" w:rsidRPr="00000000" w14:paraId="000000E4">
            <w:pPr>
              <w:spacing w:after="60" w:before="60" w:lineRule="auto"/>
              <w:jc w:val="both"/>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Leading Māori oral health improvement</w:t>
            </w:r>
          </w:p>
        </w:tc>
      </w:tr>
      <w:tr>
        <w:trPr>
          <w:cantSplit w:val="0"/>
          <w:trHeight w:val="359" w:hRule="atLeast"/>
          <w:tblHeader w:val="0"/>
        </w:trPr>
        <w:tc>
          <w:tcPr/>
          <w:p w:rsidR="00000000" w:rsidDel="00000000" w:rsidP="00000000" w:rsidRDefault="00000000" w:rsidRPr="00000000" w14:paraId="000000EB">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1.14</w:t>
            </w:r>
          </w:p>
        </w:tc>
        <w:tc>
          <w:tcPr/>
          <w:p w:rsidR="00000000" w:rsidDel="00000000" w:rsidP="00000000" w:rsidRDefault="00000000" w:rsidRPr="00000000" w14:paraId="000000EC">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Establish an executive leadership oral health position within the Ministry, that is equivalent to the chief nursing, medical, and allied health roles, with responsibilities for acheiving equity for Māori</w:t>
            </w:r>
          </w:p>
        </w:tc>
        <w:tc>
          <w:tcPr/>
          <w:p w:rsidR="00000000" w:rsidDel="00000000" w:rsidP="00000000" w:rsidRDefault="00000000" w:rsidRPr="00000000" w14:paraId="000000ED">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MOH</w:t>
            </w:r>
          </w:p>
        </w:tc>
        <w:tc>
          <w:tcPr/>
          <w:p w:rsidR="00000000" w:rsidDel="00000000" w:rsidP="00000000" w:rsidRDefault="00000000" w:rsidRPr="00000000" w14:paraId="000000EE">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1</w:t>
            </w:r>
          </w:p>
        </w:tc>
        <w:tc>
          <w:tcPr/>
          <w:p w:rsidR="00000000" w:rsidDel="00000000" w:rsidP="00000000" w:rsidRDefault="00000000" w:rsidRPr="00000000" w14:paraId="000000EF">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None </w:t>
            </w:r>
          </w:p>
        </w:tc>
        <w:tc>
          <w:tcPr/>
          <w:p w:rsidR="00000000" w:rsidDel="00000000" w:rsidP="00000000" w:rsidRDefault="00000000" w:rsidRPr="00000000" w14:paraId="000000F0">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Role is established and elevated</w:t>
            </w:r>
          </w:p>
        </w:tc>
        <w:tc>
          <w:tcPr/>
          <w:p w:rsidR="00000000" w:rsidDel="00000000" w:rsidP="00000000" w:rsidRDefault="00000000" w:rsidRPr="00000000" w14:paraId="000000F1">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Quick win</w:t>
            </w:r>
          </w:p>
          <w:p w:rsidR="00000000" w:rsidDel="00000000" w:rsidP="00000000" w:rsidRDefault="00000000" w:rsidRPr="00000000" w14:paraId="000000F2">
            <w:pPr>
              <w:spacing w:after="60" w:before="60" w:lineRule="auto"/>
              <w:jc w:val="both"/>
              <w:rPr>
                <w:rFonts w:ascii="Quattrocento Sans" w:cs="Quattrocento Sans" w:eastAsia="Quattrocento Sans" w:hAnsi="Quattrocento Sans"/>
                <w:sz w:val="20"/>
                <w:szCs w:val="20"/>
              </w:rPr>
            </w:pPr>
            <w:r w:rsidDel="00000000" w:rsidR="00000000" w:rsidRPr="00000000">
              <w:rPr>
                <w:rtl w:val="0"/>
              </w:rPr>
            </w:r>
          </w:p>
        </w:tc>
      </w:tr>
      <w:tr>
        <w:trPr>
          <w:cantSplit w:val="0"/>
          <w:trHeight w:val="359" w:hRule="atLeast"/>
          <w:tblHeader w:val="0"/>
        </w:trPr>
        <w:tc>
          <w:tcPr/>
          <w:p w:rsidR="00000000" w:rsidDel="00000000" w:rsidP="00000000" w:rsidRDefault="00000000" w:rsidRPr="00000000" w14:paraId="000000F3">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1.15</w:t>
            </w:r>
          </w:p>
        </w:tc>
        <w:tc>
          <w:tcPr/>
          <w:p w:rsidR="00000000" w:rsidDel="00000000" w:rsidP="00000000" w:rsidRDefault="00000000" w:rsidRPr="00000000" w14:paraId="000000F4">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Establish a Māori oral health equity role within the Ministry of Health Oral health team and a Māori oral health portfolio within the Māori health unit.</w:t>
            </w:r>
          </w:p>
        </w:tc>
        <w:tc>
          <w:tcPr/>
          <w:p w:rsidR="00000000" w:rsidDel="00000000" w:rsidP="00000000" w:rsidRDefault="00000000" w:rsidRPr="00000000" w14:paraId="000000F5">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MOH </w:t>
            </w:r>
          </w:p>
        </w:tc>
        <w:tc>
          <w:tcPr/>
          <w:p w:rsidR="00000000" w:rsidDel="00000000" w:rsidP="00000000" w:rsidRDefault="00000000" w:rsidRPr="00000000" w14:paraId="000000F6">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1</w:t>
            </w:r>
          </w:p>
        </w:tc>
        <w:tc>
          <w:tcPr/>
          <w:p w:rsidR="00000000" w:rsidDel="00000000" w:rsidP="00000000" w:rsidRDefault="00000000" w:rsidRPr="00000000" w14:paraId="000000F7">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Required</w:t>
            </w:r>
          </w:p>
        </w:tc>
        <w:tc>
          <w:tcPr/>
          <w:p w:rsidR="00000000" w:rsidDel="00000000" w:rsidP="00000000" w:rsidRDefault="00000000" w:rsidRPr="00000000" w14:paraId="000000F8">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Roles are established</w:t>
            </w:r>
          </w:p>
        </w:tc>
        <w:tc>
          <w:tcPr/>
          <w:p w:rsidR="00000000" w:rsidDel="00000000" w:rsidP="00000000" w:rsidRDefault="00000000" w:rsidRPr="00000000" w14:paraId="000000F9">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Quick win</w:t>
            </w:r>
          </w:p>
        </w:tc>
      </w:tr>
      <w:tr>
        <w:trPr>
          <w:cantSplit w:val="0"/>
          <w:trHeight w:val="359" w:hRule="atLeast"/>
          <w:tblHeader w:val="0"/>
        </w:trPr>
        <w:tc>
          <w:tcPr/>
          <w:p w:rsidR="00000000" w:rsidDel="00000000" w:rsidP="00000000" w:rsidRDefault="00000000" w:rsidRPr="00000000" w14:paraId="000000FA">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1.16</w:t>
            </w:r>
          </w:p>
        </w:tc>
        <w:tc>
          <w:tcPr/>
          <w:p w:rsidR="00000000" w:rsidDel="00000000" w:rsidP="00000000" w:rsidRDefault="00000000" w:rsidRPr="00000000" w14:paraId="000000FB">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Require Oral Health sector leaders to work with DHB Māori Relationship Board Chairs to establish oral health as a health and Māori development priority.</w:t>
            </w:r>
          </w:p>
        </w:tc>
        <w:tc>
          <w:tcPr/>
          <w:p w:rsidR="00000000" w:rsidDel="00000000" w:rsidP="00000000" w:rsidRDefault="00000000" w:rsidRPr="00000000" w14:paraId="000000FC">
            <w:pPr>
              <w:spacing w:after="60" w:before="60" w:lineRule="auto"/>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Te Rōpū Niho Ora, Te Ao Marama NZDA</w:t>
            </w:r>
          </w:p>
          <w:p w:rsidR="00000000" w:rsidDel="00000000" w:rsidP="00000000" w:rsidRDefault="00000000" w:rsidRPr="00000000" w14:paraId="000000FD">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NZSSCOHS, OHCAN</w:t>
            </w:r>
          </w:p>
        </w:tc>
        <w:tc>
          <w:tcPr/>
          <w:p w:rsidR="00000000" w:rsidDel="00000000" w:rsidP="00000000" w:rsidRDefault="00000000" w:rsidRPr="00000000" w14:paraId="000000FE">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1</w:t>
            </w:r>
          </w:p>
        </w:tc>
        <w:tc>
          <w:tcPr/>
          <w:p w:rsidR="00000000" w:rsidDel="00000000" w:rsidP="00000000" w:rsidRDefault="00000000" w:rsidRPr="00000000" w14:paraId="000000FF">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Existing</w:t>
            </w:r>
          </w:p>
        </w:tc>
        <w:tc>
          <w:tcPr/>
          <w:p w:rsidR="00000000" w:rsidDel="00000000" w:rsidP="00000000" w:rsidRDefault="00000000" w:rsidRPr="00000000" w14:paraId="00000100">
            <w:pPr>
              <w:spacing w:after="60" w:before="60" w:lineRule="auto"/>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 MRB with oral health as a priority</w:t>
            </w:r>
          </w:p>
          <w:p w:rsidR="00000000" w:rsidDel="00000000" w:rsidP="00000000" w:rsidRDefault="00000000" w:rsidRPr="00000000" w14:paraId="00000101">
            <w:pPr>
              <w:spacing w:after="60" w:before="60" w:lineRule="auto"/>
              <w:jc w:val="both"/>
              <w:rPr>
                <w:rFonts w:ascii="Quattrocento Sans" w:cs="Quattrocento Sans" w:eastAsia="Quattrocento Sans" w:hAnsi="Quattrocento Sans"/>
                <w:sz w:val="20"/>
                <w:szCs w:val="20"/>
              </w:rPr>
            </w:pPr>
            <w:r w:rsidDel="00000000" w:rsidR="00000000" w:rsidRPr="00000000">
              <w:rPr>
                <w:rtl w:val="0"/>
              </w:rPr>
            </w:r>
          </w:p>
        </w:tc>
        <w:tc>
          <w:tcPr/>
          <w:p w:rsidR="00000000" w:rsidDel="00000000" w:rsidP="00000000" w:rsidRDefault="00000000" w:rsidRPr="00000000" w14:paraId="00000102">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Quick win</w:t>
            </w:r>
          </w:p>
        </w:tc>
      </w:tr>
      <w:tr>
        <w:trPr>
          <w:cantSplit w:val="0"/>
          <w:trHeight w:val="359" w:hRule="atLeast"/>
          <w:tblHeader w:val="0"/>
        </w:trPr>
        <w:tc>
          <w:tcPr/>
          <w:p w:rsidR="00000000" w:rsidDel="00000000" w:rsidP="00000000" w:rsidRDefault="00000000" w:rsidRPr="00000000" w14:paraId="00000103">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1.17</w:t>
            </w:r>
          </w:p>
        </w:tc>
        <w:tc>
          <w:tcPr/>
          <w:p w:rsidR="00000000" w:rsidDel="00000000" w:rsidP="00000000" w:rsidRDefault="00000000" w:rsidRPr="00000000" w14:paraId="00000104">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Include Māori participation on the Combined Dental agreement group – The Oral Health Group.</w:t>
            </w:r>
          </w:p>
        </w:tc>
        <w:tc>
          <w:tcPr/>
          <w:p w:rsidR="00000000" w:rsidDel="00000000" w:rsidP="00000000" w:rsidRDefault="00000000" w:rsidRPr="00000000" w14:paraId="00000105">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MOH</w:t>
            </w:r>
          </w:p>
          <w:p w:rsidR="00000000" w:rsidDel="00000000" w:rsidP="00000000" w:rsidRDefault="00000000" w:rsidRPr="00000000" w14:paraId="00000106">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Partners: DHB, Te Rōpū Niho Ora, NZDA, ACC</w:t>
            </w:r>
          </w:p>
        </w:tc>
        <w:tc>
          <w:tcPr/>
          <w:p w:rsidR="00000000" w:rsidDel="00000000" w:rsidP="00000000" w:rsidRDefault="00000000" w:rsidRPr="00000000" w14:paraId="00000107">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1</w:t>
            </w:r>
          </w:p>
        </w:tc>
        <w:tc>
          <w:tcPr/>
          <w:p w:rsidR="00000000" w:rsidDel="00000000" w:rsidP="00000000" w:rsidRDefault="00000000" w:rsidRPr="00000000" w14:paraId="00000108">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None</w:t>
            </w:r>
          </w:p>
        </w:tc>
        <w:tc>
          <w:tcPr/>
          <w:p w:rsidR="00000000" w:rsidDel="00000000" w:rsidP="00000000" w:rsidRDefault="00000000" w:rsidRPr="00000000" w14:paraId="00000109">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Māori participation on the Group </w:t>
            </w:r>
          </w:p>
        </w:tc>
        <w:tc>
          <w:tcPr/>
          <w:p w:rsidR="00000000" w:rsidDel="00000000" w:rsidP="00000000" w:rsidRDefault="00000000" w:rsidRPr="00000000" w14:paraId="0000010A">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Quick win</w:t>
            </w:r>
          </w:p>
        </w:tc>
      </w:tr>
      <w:tr>
        <w:trPr>
          <w:cantSplit w:val="0"/>
          <w:trHeight w:val="553" w:hRule="atLeast"/>
          <w:tblHeader w:val="0"/>
        </w:trPr>
        <w:tc>
          <w:tcPr>
            <w:gridSpan w:val="7"/>
          </w:tcPr>
          <w:p w:rsidR="00000000" w:rsidDel="00000000" w:rsidP="00000000" w:rsidRDefault="00000000" w:rsidRPr="00000000" w14:paraId="0000010B">
            <w:pPr>
              <w:spacing w:after="60" w:before="60" w:lineRule="auto"/>
              <w:jc w:val="both"/>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Being accountable for Māori oral health</w:t>
            </w:r>
          </w:p>
        </w:tc>
      </w:tr>
      <w:tr>
        <w:trPr>
          <w:cantSplit w:val="0"/>
          <w:trHeight w:val="845" w:hRule="atLeast"/>
          <w:tblHeader w:val="0"/>
        </w:trPr>
        <w:tc>
          <w:tcPr/>
          <w:p w:rsidR="00000000" w:rsidDel="00000000" w:rsidP="00000000" w:rsidRDefault="00000000" w:rsidRPr="00000000" w14:paraId="00000112">
            <w:pPr>
              <w:spacing w:after="60" w:before="60" w:lineRule="auto"/>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1.18</w:t>
            </w:r>
          </w:p>
        </w:tc>
        <w:tc>
          <w:tcPr/>
          <w:p w:rsidR="00000000" w:rsidDel="00000000" w:rsidP="00000000" w:rsidRDefault="00000000" w:rsidRPr="00000000" w14:paraId="00000113">
            <w:pPr>
              <w:spacing w:after="60" w:before="60" w:lineRule="auto"/>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Elevate the right of Māori to good oral health under Te Tiriti o Waitangi; the right of indigenous peoples to health that is Accessible, Available, Acceptable, and Quality under the United Nations Declaration, and the right of a child to the highest standard of health and care attainable under the United Nations Convention on rights of the Child, and in particular the provision of primary and preventive healthcare (Committee on the Rights of the Child, 2013a). </w:t>
            </w:r>
          </w:p>
        </w:tc>
        <w:tc>
          <w:tcPr/>
          <w:p w:rsidR="00000000" w:rsidDel="00000000" w:rsidP="00000000" w:rsidRDefault="00000000" w:rsidRPr="00000000" w14:paraId="00000114">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Te Rōpū Niho Ora, Te Ao Marama</w:t>
            </w:r>
          </w:p>
        </w:tc>
        <w:tc>
          <w:tcPr/>
          <w:p w:rsidR="00000000" w:rsidDel="00000000" w:rsidP="00000000" w:rsidRDefault="00000000" w:rsidRPr="00000000" w14:paraId="00000115">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1</w:t>
            </w:r>
          </w:p>
        </w:tc>
        <w:tc>
          <w:tcPr/>
          <w:p w:rsidR="00000000" w:rsidDel="00000000" w:rsidP="00000000" w:rsidRDefault="00000000" w:rsidRPr="00000000" w14:paraId="00000116">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None</w:t>
            </w:r>
          </w:p>
        </w:tc>
        <w:tc>
          <w:tcPr/>
          <w:p w:rsidR="00000000" w:rsidDel="00000000" w:rsidP="00000000" w:rsidRDefault="00000000" w:rsidRPr="00000000" w14:paraId="00000117">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Government is holding itself accountable to Te Tiriti o Waitangi, UN expectations to indigenous peoples, and the UN Convention on the rights of the Child</w:t>
            </w:r>
          </w:p>
        </w:tc>
        <w:tc>
          <w:tcPr/>
          <w:p w:rsidR="00000000" w:rsidDel="00000000" w:rsidP="00000000" w:rsidRDefault="00000000" w:rsidRPr="00000000" w14:paraId="00000118">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Quick win</w:t>
            </w:r>
          </w:p>
        </w:tc>
      </w:tr>
      <w:tr>
        <w:trPr>
          <w:cantSplit w:val="0"/>
          <w:trHeight w:val="845" w:hRule="atLeast"/>
          <w:tblHeader w:val="0"/>
        </w:trPr>
        <w:tc>
          <w:tcPr/>
          <w:p w:rsidR="00000000" w:rsidDel="00000000" w:rsidP="00000000" w:rsidRDefault="00000000" w:rsidRPr="00000000" w14:paraId="00000119">
            <w:pPr>
              <w:spacing w:after="60" w:before="60" w:lineRule="auto"/>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1.19</w:t>
            </w:r>
          </w:p>
        </w:tc>
        <w:tc>
          <w:tcPr/>
          <w:p w:rsidR="00000000" w:rsidDel="00000000" w:rsidP="00000000" w:rsidRDefault="00000000" w:rsidRPr="00000000" w14:paraId="0000011A">
            <w:pPr>
              <w:spacing w:after="60" w:before="60" w:lineRule="auto"/>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Measure DHB oral health spending against oral health outcomes in target population to enable greater funding accountability. </w:t>
            </w:r>
          </w:p>
        </w:tc>
        <w:tc>
          <w:tcPr/>
          <w:p w:rsidR="00000000" w:rsidDel="00000000" w:rsidP="00000000" w:rsidRDefault="00000000" w:rsidRPr="00000000" w14:paraId="0000011B">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TPK</w:t>
            </w:r>
          </w:p>
        </w:tc>
        <w:tc>
          <w:tcPr/>
          <w:p w:rsidR="00000000" w:rsidDel="00000000" w:rsidP="00000000" w:rsidRDefault="00000000" w:rsidRPr="00000000" w14:paraId="0000011C">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1</w:t>
            </w:r>
          </w:p>
        </w:tc>
        <w:tc>
          <w:tcPr/>
          <w:p w:rsidR="00000000" w:rsidDel="00000000" w:rsidP="00000000" w:rsidRDefault="00000000" w:rsidRPr="00000000" w14:paraId="0000011D">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None</w:t>
            </w:r>
          </w:p>
        </w:tc>
        <w:tc>
          <w:tcPr/>
          <w:p w:rsidR="00000000" w:rsidDel="00000000" w:rsidP="00000000" w:rsidRDefault="00000000" w:rsidRPr="00000000" w14:paraId="0000011E">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DHB oral health spending is explicitly accounted for in annual reporting</w:t>
            </w:r>
          </w:p>
        </w:tc>
        <w:tc>
          <w:tcPr/>
          <w:p w:rsidR="00000000" w:rsidDel="00000000" w:rsidP="00000000" w:rsidRDefault="00000000" w:rsidRPr="00000000" w14:paraId="0000011F">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Quick win</w:t>
            </w:r>
          </w:p>
        </w:tc>
      </w:tr>
      <w:tr>
        <w:trPr>
          <w:cantSplit w:val="0"/>
          <w:trHeight w:val="682" w:hRule="atLeast"/>
          <w:tblHeader w:val="0"/>
        </w:trPr>
        <w:tc>
          <w:tcPr/>
          <w:p w:rsidR="00000000" w:rsidDel="00000000" w:rsidP="00000000" w:rsidRDefault="00000000" w:rsidRPr="00000000" w14:paraId="00000120">
            <w:pPr>
              <w:spacing w:after="60" w:before="60" w:lineRule="auto"/>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1.20</w:t>
            </w:r>
          </w:p>
        </w:tc>
        <w:tc>
          <w:tcPr/>
          <w:p w:rsidR="00000000" w:rsidDel="00000000" w:rsidP="00000000" w:rsidRDefault="00000000" w:rsidRPr="00000000" w14:paraId="00000121">
            <w:pPr>
              <w:spacing w:after="60" w:before="60" w:lineRule="auto"/>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Investigate the quality, and reporting of, oral health ethnicity data.</w:t>
            </w:r>
          </w:p>
        </w:tc>
        <w:tc>
          <w:tcPr/>
          <w:p w:rsidR="00000000" w:rsidDel="00000000" w:rsidP="00000000" w:rsidRDefault="00000000" w:rsidRPr="00000000" w14:paraId="00000122">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MOH</w:t>
            </w:r>
          </w:p>
        </w:tc>
        <w:tc>
          <w:tcPr/>
          <w:p w:rsidR="00000000" w:rsidDel="00000000" w:rsidP="00000000" w:rsidRDefault="00000000" w:rsidRPr="00000000" w14:paraId="00000123">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1-2</w:t>
            </w:r>
          </w:p>
        </w:tc>
        <w:tc>
          <w:tcPr/>
          <w:p w:rsidR="00000000" w:rsidDel="00000000" w:rsidP="00000000" w:rsidRDefault="00000000" w:rsidRPr="00000000" w14:paraId="00000124">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None</w:t>
            </w:r>
          </w:p>
        </w:tc>
        <w:tc>
          <w:tcPr/>
          <w:p w:rsidR="00000000" w:rsidDel="00000000" w:rsidP="00000000" w:rsidRDefault="00000000" w:rsidRPr="00000000" w14:paraId="00000125">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Audit complete</w:t>
            </w:r>
          </w:p>
          <w:p w:rsidR="00000000" w:rsidDel="00000000" w:rsidP="00000000" w:rsidRDefault="00000000" w:rsidRPr="00000000" w14:paraId="00000126">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Actions identified and implemented</w:t>
            </w:r>
          </w:p>
        </w:tc>
        <w:tc>
          <w:tcPr/>
          <w:p w:rsidR="00000000" w:rsidDel="00000000" w:rsidP="00000000" w:rsidRDefault="00000000" w:rsidRPr="00000000" w14:paraId="00000127">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Future gain</w:t>
            </w:r>
          </w:p>
        </w:tc>
      </w:tr>
      <w:tr>
        <w:trPr>
          <w:cantSplit w:val="0"/>
          <w:trHeight w:val="997" w:hRule="atLeast"/>
          <w:tblHeader w:val="0"/>
        </w:trPr>
        <w:tc>
          <w:tcPr/>
          <w:p w:rsidR="00000000" w:rsidDel="00000000" w:rsidP="00000000" w:rsidRDefault="00000000" w:rsidRPr="00000000" w14:paraId="00000128">
            <w:pPr>
              <w:spacing w:after="60" w:before="60" w:lineRule="auto"/>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1.21</w:t>
            </w:r>
          </w:p>
        </w:tc>
        <w:tc>
          <w:tcPr/>
          <w:p w:rsidR="00000000" w:rsidDel="00000000" w:rsidP="00000000" w:rsidRDefault="00000000" w:rsidRPr="00000000" w14:paraId="00000129">
            <w:pPr>
              <w:spacing w:after="60" w:before="60" w:lineRule="auto"/>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Establish an independent role to monitor equity trends, performance, workforce, model of care, and investment analysis. </w:t>
            </w:r>
          </w:p>
        </w:tc>
        <w:tc>
          <w:tcPr/>
          <w:p w:rsidR="00000000" w:rsidDel="00000000" w:rsidP="00000000" w:rsidRDefault="00000000" w:rsidRPr="00000000" w14:paraId="0000012A">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MOH</w:t>
            </w:r>
          </w:p>
        </w:tc>
        <w:tc>
          <w:tcPr/>
          <w:p w:rsidR="00000000" w:rsidDel="00000000" w:rsidP="00000000" w:rsidRDefault="00000000" w:rsidRPr="00000000" w14:paraId="0000012B">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1.3</w:t>
            </w:r>
          </w:p>
        </w:tc>
        <w:tc>
          <w:tcPr/>
          <w:p w:rsidR="00000000" w:rsidDel="00000000" w:rsidP="00000000" w:rsidRDefault="00000000" w:rsidRPr="00000000" w14:paraId="0000012C">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Required</w:t>
            </w:r>
          </w:p>
        </w:tc>
        <w:tc>
          <w:tcPr/>
          <w:p w:rsidR="00000000" w:rsidDel="00000000" w:rsidP="00000000" w:rsidRDefault="00000000" w:rsidRPr="00000000" w14:paraId="0000012D">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Role established, trends identified and improvement actions in place</w:t>
            </w:r>
          </w:p>
        </w:tc>
        <w:tc>
          <w:tcPr/>
          <w:p w:rsidR="00000000" w:rsidDel="00000000" w:rsidP="00000000" w:rsidRDefault="00000000" w:rsidRPr="00000000" w14:paraId="0000012E">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Future gain</w:t>
            </w:r>
          </w:p>
        </w:tc>
      </w:tr>
    </w:tbl>
    <w:p w:rsidR="00000000" w:rsidDel="00000000" w:rsidP="00000000" w:rsidRDefault="00000000" w:rsidRPr="00000000" w14:paraId="0000012F">
      <w:pPr>
        <w:rPr>
          <w:rFonts w:ascii="Quattrocento Sans" w:cs="Quattrocento Sans" w:eastAsia="Quattrocento Sans" w:hAnsi="Quattrocento Sans"/>
          <w:b w:val="1"/>
          <w:sz w:val="32"/>
          <w:szCs w:val="32"/>
        </w:rPr>
      </w:pPr>
      <w:bookmarkStart w:colFirst="0" w:colLast="0" w:name="_heading=h.t7opzo5bj4p" w:id="7"/>
      <w:bookmarkEnd w:id="7"/>
      <w:r w:rsidDel="00000000" w:rsidR="00000000" w:rsidRPr="00000000">
        <w:rPr>
          <w:rFonts w:ascii="Quattrocento Sans" w:cs="Quattrocento Sans" w:eastAsia="Quattrocento Sans" w:hAnsi="Quattrocento Sans"/>
          <w:b w:val="1"/>
          <w:sz w:val="32"/>
          <w:szCs w:val="32"/>
          <w:rtl w:val="0"/>
        </w:rPr>
        <w:t xml:space="preserve"> </w:t>
      </w:r>
    </w:p>
    <w:p w:rsidR="00000000" w:rsidDel="00000000" w:rsidP="00000000" w:rsidRDefault="00000000" w:rsidRPr="00000000" w14:paraId="00000130">
      <w:pPr>
        <w:jc w:val="both"/>
        <w:rPr>
          <w:rFonts w:ascii="Quattrocento Sans" w:cs="Quattrocento Sans" w:eastAsia="Quattrocento Sans" w:hAnsi="Quattrocento Sans"/>
          <w:b w:val="1"/>
          <w:color w:val="1f3864"/>
          <w:sz w:val="40"/>
          <w:szCs w:val="40"/>
        </w:rPr>
      </w:pPr>
      <w:bookmarkStart w:colFirst="0" w:colLast="0" w:name="_heading=h.8dr0w0tx2oye" w:id="8"/>
      <w:bookmarkEnd w:id="8"/>
      <w:r w:rsidDel="00000000" w:rsidR="00000000" w:rsidRPr="00000000">
        <w:rPr>
          <w:rFonts w:ascii="Quattrocento Sans" w:cs="Quattrocento Sans" w:eastAsia="Quattrocento Sans" w:hAnsi="Quattrocento Sans"/>
          <w:b w:val="1"/>
          <w:color w:val="1f3864"/>
          <w:sz w:val="40"/>
          <w:szCs w:val="40"/>
          <w:rtl w:val="0"/>
        </w:rPr>
        <w:t xml:space="preserve">Priority 2: Responsive oral health services</w:t>
      </w:r>
    </w:p>
    <w:p w:rsidR="00000000" w:rsidDel="00000000" w:rsidP="00000000" w:rsidRDefault="00000000" w:rsidRPr="00000000" w14:paraId="00000131">
      <w:pPr>
        <w:rPr>
          <w:rFonts w:ascii="Quattrocento Sans" w:cs="Quattrocento Sans" w:eastAsia="Quattrocento Sans" w:hAnsi="Quattrocento Sans"/>
        </w:rPr>
      </w:pPr>
      <w:r w:rsidDel="00000000" w:rsidR="00000000" w:rsidRPr="00000000">
        <w:rPr>
          <w:rtl w:val="0"/>
        </w:rPr>
      </w:r>
    </w:p>
    <w:tbl>
      <w:tblPr>
        <w:tblStyle w:val="Table2"/>
        <w:tblW w:w="141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4"/>
        <w:gridCol w:w="5245"/>
        <w:gridCol w:w="1701"/>
        <w:gridCol w:w="709"/>
        <w:gridCol w:w="1417"/>
        <w:gridCol w:w="3119"/>
        <w:gridCol w:w="1275"/>
        <w:tblGridChange w:id="0">
          <w:tblGrid>
            <w:gridCol w:w="704"/>
            <w:gridCol w:w="5245"/>
            <w:gridCol w:w="1701"/>
            <w:gridCol w:w="709"/>
            <w:gridCol w:w="1417"/>
            <w:gridCol w:w="3119"/>
            <w:gridCol w:w="1275"/>
          </w:tblGrid>
        </w:tblGridChange>
      </w:tblGrid>
      <w:tr>
        <w:trPr>
          <w:cantSplit w:val="0"/>
          <w:trHeight w:val="566" w:hRule="atLeast"/>
          <w:tblHeader w:val="0"/>
        </w:trPr>
        <w:tc>
          <w:tcPr>
            <w:shd w:fill="e7e6e6" w:val="clear"/>
          </w:tcPr>
          <w:p w:rsidR="00000000" w:rsidDel="00000000" w:rsidP="00000000" w:rsidRDefault="00000000" w:rsidRPr="00000000" w14:paraId="00000132">
            <w:pPr>
              <w:spacing w:line="271" w:lineRule="auto"/>
              <w:jc w:val="both"/>
              <w:rPr>
                <w:rFonts w:ascii="Quattrocento Sans" w:cs="Quattrocento Sans" w:eastAsia="Quattrocento Sans" w:hAnsi="Quattrocento Sans"/>
                <w:b w:val="1"/>
                <w:sz w:val="20"/>
                <w:szCs w:val="20"/>
              </w:rPr>
            </w:pPr>
            <w:r w:rsidDel="00000000" w:rsidR="00000000" w:rsidRPr="00000000">
              <w:rPr>
                <w:rtl w:val="0"/>
              </w:rPr>
            </w:r>
          </w:p>
        </w:tc>
        <w:tc>
          <w:tcPr>
            <w:shd w:fill="e7e6e6" w:val="clear"/>
          </w:tcPr>
          <w:p w:rsidR="00000000" w:rsidDel="00000000" w:rsidP="00000000" w:rsidRDefault="00000000" w:rsidRPr="00000000" w14:paraId="00000133">
            <w:pPr>
              <w:spacing w:line="271" w:lineRule="auto"/>
              <w:jc w:val="both"/>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Action</w:t>
            </w:r>
          </w:p>
        </w:tc>
        <w:tc>
          <w:tcPr>
            <w:shd w:fill="e7e6e6" w:val="clear"/>
          </w:tcPr>
          <w:p w:rsidR="00000000" w:rsidDel="00000000" w:rsidP="00000000" w:rsidRDefault="00000000" w:rsidRPr="00000000" w14:paraId="00000134">
            <w:pPr>
              <w:spacing w:line="271" w:lineRule="auto"/>
              <w:jc w:val="both"/>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Lead</w:t>
            </w:r>
          </w:p>
        </w:tc>
        <w:tc>
          <w:tcPr>
            <w:shd w:fill="e7e6e6" w:val="clear"/>
          </w:tcPr>
          <w:p w:rsidR="00000000" w:rsidDel="00000000" w:rsidP="00000000" w:rsidRDefault="00000000" w:rsidRPr="00000000" w14:paraId="00000135">
            <w:pPr>
              <w:spacing w:line="271" w:lineRule="auto"/>
              <w:jc w:val="both"/>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Year</w:t>
            </w:r>
          </w:p>
          <w:p w:rsidR="00000000" w:rsidDel="00000000" w:rsidP="00000000" w:rsidRDefault="00000000" w:rsidRPr="00000000" w14:paraId="00000136">
            <w:pPr>
              <w:spacing w:line="271" w:lineRule="auto"/>
              <w:jc w:val="both"/>
              <w:rPr>
                <w:rFonts w:ascii="Quattrocento Sans" w:cs="Quattrocento Sans" w:eastAsia="Quattrocento Sans" w:hAnsi="Quattrocento Sans"/>
                <w:b w:val="1"/>
              </w:rPr>
            </w:pPr>
            <w:r w:rsidDel="00000000" w:rsidR="00000000" w:rsidRPr="00000000">
              <w:rPr>
                <w:rtl w:val="0"/>
              </w:rPr>
            </w:r>
          </w:p>
        </w:tc>
        <w:tc>
          <w:tcPr>
            <w:shd w:fill="e7e6e6" w:val="clear"/>
          </w:tcPr>
          <w:p w:rsidR="00000000" w:rsidDel="00000000" w:rsidP="00000000" w:rsidRDefault="00000000" w:rsidRPr="00000000" w14:paraId="00000137">
            <w:pPr>
              <w:spacing w:line="271" w:lineRule="auto"/>
              <w:jc w:val="both"/>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Investment</w:t>
            </w:r>
          </w:p>
        </w:tc>
        <w:tc>
          <w:tcPr>
            <w:shd w:fill="e7e6e6" w:val="clear"/>
          </w:tcPr>
          <w:p w:rsidR="00000000" w:rsidDel="00000000" w:rsidP="00000000" w:rsidRDefault="00000000" w:rsidRPr="00000000" w14:paraId="00000138">
            <w:pPr>
              <w:spacing w:line="271" w:lineRule="auto"/>
              <w:jc w:val="both"/>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Measuring success</w:t>
            </w:r>
          </w:p>
        </w:tc>
        <w:tc>
          <w:tcPr>
            <w:shd w:fill="e7e6e6" w:val="clear"/>
          </w:tcPr>
          <w:p w:rsidR="00000000" w:rsidDel="00000000" w:rsidP="00000000" w:rsidRDefault="00000000" w:rsidRPr="00000000" w14:paraId="00000139">
            <w:pPr>
              <w:spacing w:line="271" w:lineRule="auto"/>
              <w:jc w:val="both"/>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Impact</w:t>
            </w:r>
          </w:p>
        </w:tc>
      </w:tr>
      <w:tr>
        <w:trPr>
          <w:cantSplit w:val="0"/>
          <w:trHeight w:val="409" w:hRule="atLeast"/>
          <w:tblHeader w:val="0"/>
        </w:trPr>
        <w:tc>
          <w:tcPr>
            <w:gridSpan w:val="7"/>
          </w:tcPr>
          <w:p w:rsidR="00000000" w:rsidDel="00000000" w:rsidP="00000000" w:rsidRDefault="00000000" w:rsidRPr="00000000" w14:paraId="0000013A">
            <w:pPr>
              <w:spacing w:line="271" w:lineRule="auto"/>
              <w:jc w:val="both"/>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Models of care</w:t>
            </w:r>
          </w:p>
        </w:tc>
      </w:tr>
      <w:tr>
        <w:trPr>
          <w:cantSplit w:val="0"/>
          <w:trHeight w:val="573" w:hRule="atLeast"/>
          <w:tblHeader w:val="0"/>
        </w:trPr>
        <w:tc>
          <w:tcPr/>
          <w:p w:rsidR="00000000" w:rsidDel="00000000" w:rsidP="00000000" w:rsidRDefault="00000000" w:rsidRPr="00000000" w14:paraId="00000141">
            <w:pPr>
              <w:spacing w:line="271"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2.1</w:t>
            </w:r>
          </w:p>
        </w:tc>
        <w:tc>
          <w:tcPr/>
          <w:p w:rsidR="00000000" w:rsidDel="00000000" w:rsidP="00000000" w:rsidRDefault="00000000" w:rsidRPr="00000000" w14:paraId="00000142">
            <w:pPr>
              <w:spacing w:line="271"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Improve the community oral health service responsiveness to whānau Māori by making the following changes: </w:t>
            </w:r>
          </w:p>
          <w:p w:rsidR="00000000" w:rsidDel="00000000" w:rsidP="00000000" w:rsidRDefault="00000000" w:rsidRPr="00000000" w14:paraId="000001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1" w:lineRule="auto"/>
              <w:ind w:left="720" w:right="0" w:hanging="360"/>
              <w:jc w:val="both"/>
              <w:rPr>
                <w:rFonts w:ascii="Quattrocento Sans" w:cs="Quattrocento Sans" w:eastAsia="Quattrocento Sans" w:hAnsi="Quattrocento Sans"/>
                <w:b w:val="0"/>
                <w:i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0"/>
                <w:szCs w:val="20"/>
                <w:u w:val="none"/>
                <w:shd w:fill="auto" w:val="clear"/>
                <w:vertAlign w:val="baseline"/>
                <w:rtl w:val="0"/>
              </w:rPr>
              <w:t xml:space="preserve">Move away from enrolment to engagement</w:t>
            </w:r>
          </w:p>
          <w:p w:rsidR="00000000" w:rsidDel="00000000" w:rsidP="00000000" w:rsidRDefault="00000000" w:rsidRPr="00000000" w14:paraId="000001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1" w:lineRule="auto"/>
              <w:ind w:left="720" w:right="0" w:hanging="360"/>
              <w:jc w:val="both"/>
              <w:rPr>
                <w:rFonts w:ascii="Quattrocento Sans" w:cs="Quattrocento Sans" w:eastAsia="Quattrocento Sans" w:hAnsi="Quattrocento Sans"/>
                <w:b w:val="0"/>
                <w:i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0"/>
                <w:szCs w:val="20"/>
                <w:u w:val="none"/>
                <w:shd w:fill="auto" w:val="clear"/>
                <w:vertAlign w:val="baseline"/>
                <w:rtl w:val="0"/>
              </w:rPr>
              <w:t xml:space="preserve">Review the hub and spoke model and its impact on whānau Māori</w:t>
            </w:r>
          </w:p>
          <w:p w:rsidR="00000000" w:rsidDel="00000000" w:rsidP="00000000" w:rsidRDefault="00000000" w:rsidRPr="00000000" w14:paraId="000001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1" w:lineRule="auto"/>
              <w:ind w:left="720" w:right="0" w:hanging="360"/>
              <w:jc w:val="both"/>
              <w:rPr>
                <w:rFonts w:ascii="Quattrocento Sans" w:cs="Quattrocento Sans" w:eastAsia="Quattrocento Sans" w:hAnsi="Quattrocento Sans"/>
                <w:b w:val="0"/>
                <w:i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0"/>
                <w:szCs w:val="20"/>
                <w:u w:val="none"/>
                <w:shd w:fill="auto" w:val="clear"/>
                <w:vertAlign w:val="baseline"/>
                <w:rtl w:val="0"/>
              </w:rPr>
              <w:t xml:space="preserve">Expand operating hours and contracts to allow wider availability and flexibility for whānau</w:t>
            </w:r>
          </w:p>
          <w:p w:rsidR="00000000" w:rsidDel="00000000" w:rsidP="00000000" w:rsidRDefault="00000000" w:rsidRPr="00000000" w14:paraId="000001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1" w:lineRule="auto"/>
              <w:ind w:left="720" w:right="0" w:hanging="360"/>
              <w:jc w:val="both"/>
              <w:rPr>
                <w:rFonts w:ascii="Quattrocento Sans" w:cs="Quattrocento Sans" w:eastAsia="Quattrocento Sans" w:hAnsi="Quattrocento Sans"/>
                <w:b w:val="0"/>
                <w:i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0"/>
                <w:szCs w:val="20"/>
                <w:u w:val="none"/>
                <w:shd w:fill="auto" w:val="clear"/>
                <w:vertAlign w:val="baseline"/>
                <w:rtl w:val="0"/>
              </w:rPr>
              <w:t xml:space="preserve">Introduce outreach services that are community based and oriented to whānau in the home</w:t>
            </w:r>
          </w:p>
          <w:p w:rsidR="00000000" w:rsidDel="00000000" w:rsidP="00000000" w:rsidRDefault="00000000" w:rsidRPr="00000000" w14:paraId="000001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1" w:lineRule="auto"/>
              <w:ind w:left="720" w:right="0" w:hanging="360"/>
              <w:jc w:val="both"/>
              <w:rPr>
                <w:rFonts w:ascii="Quattrocento Sans" w:cs="Quattrocento Sans" w:eastAsia="Quattrocento Sans" w:hAnsi="Quattrocento Sans"/>
                <w:b w:val="0"/>
                <w:i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0"/>
                <w:szCs w:val="20"/>
                <w:u w:val="none"/>
                <w:shd w:fill="auto" w:val="clear"/>
                <w:vertAlign w:val="baseline"/>
                <w:rtl w:val="0"/>
              </w:rPr>
              <w:t xml:space="preserve">Review pathways and implement actions to improve access to dental care for rural Māori </w:t>
            </w:r>
          </w:p>
          <w:p w:rsidR="00000000" w:rsidDel="00000000" w:rsidP="00000000" w:rsidRDefault="00000000" w:rsidRPr="00000000" w14:paraId="000001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1" w:lineRule="auto"/>
              <w:ind w:left="720" w:right="0" w:hanging="360"/>
              <w:jc w:val="both"/>
              <w:rPr>
                <w:rFonts w:ascii="Quattrocento Sans" w:cs="Quattrocento Sans" w:eastAsia="Quattrocento Sans" w:hAnsi="Quattrocento Sans"/>
                <w:b w:val="0"/>
                <w:i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0"/>
                <w:szCs w:val="20"/>
                <w:u w:val="none"/>
                <w:shd w:fill="auto" w:val="clear"/>
                <w:vertAlign w:val="baseline"/>
                <w:rtl w:val="0"/>
              </w:rPr>
              <w:t xml:space="preserve">Review pathways and implement actions to increase attendance rates of Māori</w:t>
            </w:r>
          </w:p>
          <w:p w:rsidR="00000000" w:rsidDel="00000000" w:rsidP="00000000" w:rsidRDefault="00000000" w:rsidRPr="00000000" w14:paraId="000001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1" w:lineRule="auto"/>
              <w:ind w:left="720" w:right="0" w:hanging="360"/>
              <w:jc w:val="both"/>
              <w:rPr>
                <w:rFonts w:ascii="Quattrocento Sans" w:cs="Quattrocento Sans" w:eastAsia="Quattrocento Sans" w:hAnsi="Quattrocento Sans"/>
                <w:b w:val="0"/>
                <w:i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0"/>
                <w:szCs w:val="20"/>
                <w:u w:val="none"/>
                <w:shd w:fill="auto" w:val="clear"/>
                <w:vertAlign w:val="baseline"/>
                <w:rtl w:val="0"/>
              </w:rPr>
              <w:t xml:space="preserve">Integration with primary care</w:t>
            </w:r>
          </w:p>
          <w:p w:rsidR="00000000" w:rsidDel="00000000" w:rsidP="00000000" w:rsidRDefault="00000000" w:rsidRPr="00000000" w14:paraId="000001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1" w:lineRule="auto"/>
              <w:ind w:left="720" w:right="0" w:hanging="360"/>
              <w:jc w:val="both"/>
              <w:rPr>
                <w:rFonts w:ascii="Quattrocento Sans" w:cs="Quattrocento Sans" w:eastAsia="Quattrocento Sans" w:hAnsi="Quattrocento Sans"/>
                <w:b w:val="0"/>
                <w:i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0"/>
                <w:szCs w:val="20"/>
                <w:u w:val="none"/>
                <w:shd w:fill="auto" w:val="clear"/>
                <w:vertAlign w:val="baseline"/>
                <w:rtl w:val="0"/>
              </w:rPr>
              <w:t xml:space="preserve">Provide targeted oral health services based on need.</w:t>
            </w:r>
          </w:p>
        </w:tc>
        <w:tc>
          <w:tcPr/>
          <w:p w:rsidR="00000000" w:rsidDel="00000000" w:rsidP="00000000" w:rsidRDefault="00000000" w:rsidRPr="00000000" w14:paraId="0000014B">
            <w:pPr>
              <w:spacing w:line="271"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MOH, DHB COHS</w:t>
            </w:r>
          </w:p>
        </w:tc>
        <w:tc>
          <w:tcPr/>
          <w:p w:rsidR="00000000" w:rsidDel="00000000" w:rsidP="00000000" w:rsidRDefault="00000000" w:rsidRPr="00000000" w14:paraId="0000014C">
            <w:pPr>
              <w:spacing w:line="271"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1 </w:t>
            </w:r>
          </w:p>
        </w:tc>
        <w:tc>
          <w:tcPr/>
          <w:p w:rsidR="00000000" w:rsidDel="00000000" w:rsidP="00000000" w:rsidRDefault="00000000" w:rsidRPr="00000000" w14:paraId="0000014D">
            <w:pPr>
              <w:spacing w:line="271"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Existing</w:t>
            </w:r>
          </w:p>
        </w:tc>
        <w:tc>
          <w:tcPr/>
          <w:p w:rsidR="00000000" w:rsidDel="00000000" w:rsidP="00000000" w:rsidRDefault="00000000" w:rsidRPr="00000000" w14:paraId="0000014E">
            <w:pPr>
              <w:spacing w:line="271"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 and % tamariki Māori seen at age one</w:t>
            </w:r>
          </w:p>
          <w:p w:rsidR="00000000" w:rsidDel="00000000" w:rsidP="00000000" w:rsidRDefault="00000000" w:rsidRPr="00000000" w14:paraId="0000014F">
            <w:pPr>
              <w:spacing w:line="271"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Report and actions to improve COHS responsiveness to Māori is implemented  </w:t>
            </w:r>
          </w:p>
        </w:tc>
        <w:tc>
          <w:tcPr/>
          <w:p w:rsidR="00000000" w:rsidDel="00000000" w:rsidP="00000000" w:rsidRDefault="00000000" w:rsidRPr="00000000" w14:paraId="00000150">
            <w:pPr>
              <w:spacing w:line="271"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Quick win</w:t>
            </w:r>
          </w:p>
        </w:tc>
      </w:tr>
      <w:tr>
        <w:trPr>
          <w:cantSplit w:val="0"/>
          <w:trHeight w:val="573" w:hRule="atLeast"/>
          <w:tblHeader w:val="0"/>
        </w:trPr>
        <w:tc>
          <w:tcPr/>
          <w:p w:rsidR="00000000" w:rsidDel="00000000" w:rsidP="00000000" w:rsidRDefault="00000000" w:rsidRPr="00000000" w14:paraId="00000151">
            <w:pPr>
              <w:spacing w:line="271"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2.2</w:t>
            </w:r>
          </w:p>
        </w:tc>
        <w:tc>
          <w:tcPr/>
          <w:p w:rsidR="00000000" w:rsidDel="00000000" w:rsidP="00000000" w:rsidRDefault="00000000" w:rsidRPr="00000000" w14:paraId="00000152">
            <w:pPr>
              <w:spacing w:line="271"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Review pathways and implement actions (with Māori) to improve Ambulatory Sensitive Hospital (ASH) Admission rates for GA dental. Tamariki Māori are currently disproportionately represented in this group.</w:t>
            </w:r>
          </w:p>
        </w:tc>
        <w:tc>
          <w:tcPr/>
          <w:p w:rsidR="00000000" w:rsidDel="00000000" w:rsidP="00000000" w:rsidRDefault="00000000" w:rsidRPr="00000000" w14:paraId="00000153">
            <w:pPr>
              <w:spacing w:line="271"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DHB P&amp;F, DHB COHS</w:t>
            </w:r>
          </w:p>
        </w:tc>
        <w:tc>
          <w:tcPr/>
          <w:p w:rsidR="00000000" w:rsidDel="00000000" w:rsidP="00000000" w:rsidRDefault="00000000" w:rsidRPr="00000000" w14:paraId="00000154">
            <w:pPr>
              <w:spacing w:line="271"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1-2</w:t>
            </w:r>
          </w:p>
        </w:tc>
        <w:tc>
          <w:tcPr/>
          <w:p w:rsidR="00000000" w:rsidDel="00000000" w:rsidP="00000000" w:rsidRDefault="00000000" w:rsidRPr="00000000" w14:paraId="00000155">
            <w:pPr>
              <w:spacing w:line="271"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Required</w:t>
            </w:r>
          </w:p>
        </w:tc>
        <w:tc>
          <w:tcPr/>
          <w:p w:rsidR="00000000" w:rsidDel="00000000" w:rsidP="00000000" w:rsidRDefault="00000000" w:rsidRPr="00000000" w14:paraId="00000156">
            <w:pPr>
              <w:spacing w:line="271"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 and % decrease in ASH dental rates for Māori</w:t>
            </w:r>
          </w:p>
        </w:tc>
        <w:tc>
          <w:tcPr/>
          <w:p w:rsidR="00000000" w:rsidDel="00000000" w:rsidP="00000000" w:rsidRDefault="00000000" w:rsidRPr="00000000" w14:paraId="00000157">
            <w:pPr>
              <w:spacing w:line="271"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Quick win</w:t>
            </w:r>
          </w:p>
        </w:tc>
      </w:tr>
      <w:tr>
        <w:trPr>
          <w:cantSplit w:val="0"/>
          <w:trHeight w:val="573" w:hRule="atLeast"/>
          <w:tblHeader w:val="0"/>
        </w:trPr>
        <w:tc>
          <w:tcPr/>
          <w:p w:rsidR="00000000" w:rsidDel="00000000" w:rsidP="00000000" w:rsidRDefault="00000000" w:rsidRPr="00000000" w14:paraId="00000158">
            <w:pPr>
              <w:spacing w:line="271"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2.3</w:t>
            </w:r>
          </w:p>
        </w:tc>
        <w:tc>
          <w:tcPr/>
          <w:p w:rsidR="00000000" w:rsidDel="00000000" w:rsidP="00000000" w:rsidRDefault="00000000" w:rsidRPr="00000000" w14:paraId="00000159">
            <w:pPr>
              <w:spacing w:line="271"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Move to a model of essential rather than emergency dental for low income adults and make preventive care a core component.</w:t>
            </w:r>
          </w:p>
        </w:tc>
        <w:tc>
          <w:tcPr/>
          <w:p w:rsidR="00000000" w:rsidDel="00000000" w:rsidP="00000000" w:rsidRDefault="00000000" w:rsidRPr="00000000" w14:paraId="0000015A">
            <w:pPr>
              <w:spacing w:line="271"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MOH, MSD, DHB</w:t>
            </w:r>
          </w:p>
          <w:p w:rsidR="00000000" w:rsidDel="00000000" w:rsidP="00000000" w:rsidRDefault="00000000" w:rsidRPr="00000000" w14:paraId="0000015B">
            <w:pPr>
              <w:spacing w:line="271" w:lineRule="auto"/>
              <w:jc w:val="both"/>
              <w:rPr>
                <w:rFonts w:ascii="Quattrocento Sans" w:cs="Quattrocento Sans" w:eastAsia="Quattrocento Sans" w:hAnsi="Quattrocento Sans"/>
                <w:sz w:val="20"/>
                <w:szCs w:val="20"/>
              </w:rPr>
            </w:pPr>
            <w:r w:rsidDel="00000000" w:rsidR="00000000" w:rsidRPr="00000000">
              <w:rPr>
                <w:rtl w:val="0"/>
              </w:rPr>
            </w:r>
          </w:p>
        </w:tc>
        <w:tc>
          <w:tcPr/>
          <w:p w:rsidR="00000000" w:rsidDel="00000000" w:rsidP="00000000" w:rsidRDefault="00000000" w:rsidRPr="00000000" w14:paraId="0000015C">
            <w:pPr>
              <w:spacing w:line="271"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1-3</w:t>
            </w:r>
          </w:p>
        </w:tc>
        <w:tc>
          <w:tcPr/>
          <w:p w:rsidR="00000000" w:rsidDel="00000000" w:rsidP="00000000" w:rsidRDefault="00000000" w:rsidRPr="00000000" w14:paraId="0000015D">
            <w:pPr>
              <w:spacing w:line="271"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Required</w:t>
            </w:r>
          </w:p>
        </w:tc>
        <w:tc>
          <w:tcPr/>
          <w:p w:rsidR="00000000" w:rsidDel="00000000" w:rsidP="00000000" w:rsidRDefault="00000000" w:rsidRPr="00000000" w14:paraId="0000015E">
            <w:pPr>
              <w:spacing w:line="271"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Decrease in emergency care</w:t>
            </w:r>
          </w:p>
          <w:p w:rsidR="00000000" w:rsidDel="00000000" w:rsidP="00000000" w:rsidRDefault="00000000" w:rsidRPr="00000000" w14:paraId="0000015F">
            <w:pPr>
              <w:spacing w:line="271"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Decrease in dental decay </w:t>
            </w:r>
          </w:p>
        </w:tc>
        <w:tc>
          <w:tcPr/>
          <w:p w:rsidR="00000000" w:rsidDel="00000000" w:rsidP="00000000" w:rsidRDefault="00000000" w:rsidRPr="00000000" w14:paraId="00000160">
            <w:pPr>
              <w:spacing w:line="271"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Quick win</w:t>
            </w:r>
          </w:p>
        </w:tc>
      </w:tr>
      <w:tr>
        <w:trPr>
          <w:cantSplit w:val="0"/>
          <w:trHeight w:val="573" w:hRule="atLeast"/>
          <w:tblHeader w:val="0"/>
        </w:trPr>
        <w:tc>
          <w:tcPr/>
          <w:p w:rsidR="00000000" w:rsidDel="00000000" w:rsidP="00000000" w:rsidRDefault="00000000" w:rsidRPr="00000000" w14:paraId="00000161">
            <w:pPr>
              <w:spacing w:line="271"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2.4</w:t>
            </w:r>
          </w:p>
        </w:tc>
        <w:tc>
          <w:tcPr/>
          <w:p w:rsidR="00000000" w:rsidDel="00000000" w:rsidP="00000000" w:rsidRDefault="00000000" w:rsidRPr="00000000" w14:paraId="00000162">
            <w:pPr>
              <w:spacing w:line="271"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Introduce a free oral health care programme for Māori mothers (prioritising 18-30 years olds), low income adults,  and for those with chronic conditions.</w:t>
            </w:r>
          </w:p>
        </w:tc>
        <w:tc>
          <w:tcPr/>
          <w:p w:rsidR="00000000" w:rsidDel="00000000" w:rsidP="00000000" w:rsidRDefault="00000000" w:rsidRPr="00000000" w14:paraId="00000163">
            <w:pPr>
              <w:spacing w:line="271"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MOH, DHB, PHO, MOHP</w:t>
            </w:r>
          </w:p>
        </w:tc>
        <w:tc>
          <w:tcPr/>
          <w:p w:rsidR="00000000" w:rsidDel="00000000" w:rsidP="00000000" w:rsidRDefault="00000000" w:rsidRPr="00000000" w14:paraId="00000164">
            <w:pPr>
              <w:spacing w:line="271"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1-3</w:t>
            </w:r>
          </w:p>
        </w:tc>
        <w:tc>
          <w:tcPr/>
          <w:p w:rsidR="00000000" w:rsidDel="00000000" w:rsidP="00000000" w:rsidRDefault="00000000" w:rsidRPr="00000000" w14:paraId="00000165">
            <w:pPr>
              <w:spacing w:line="271"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Required</w:t>
            </w:r>
          </w:p>
        </w:tc>
        <w:tc>
          <w:tcPr/>
          <w:p w:rsidR="00000000" w:rsidDel="00000000" w:rsidP="00000000" w:rsidRDefault="00000000" w:rsidRPr="00000000" w14:paraId="00000166">
            <w:pPr>
              <w:spacing w:line="271"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Increase in engagement of priority groups</w:t>
            </w:r>
          </w:p>
          <w:p w:rsidR="00000000" w:rsidDel="00000000" w:rsidP="00000000" w:rsidRDefault="00000000" w:rsidRPr="00000000" w14:paraId="00000167">
            <w:pPr>
              <w:spacing w:line="271"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Improvement in diabetes management</w:t>
            </w:r>
          </w:p>
        </w:tc>
        <w:tc>
          <w:tcPr/>
          <w:p w:rsidR="00000000" w:rsidDel="00000000" w:rsidP="00000000" w:rsidRDefault="00000000" w:rsidRPr="00000000" w14:paraId="00000168">
            <w:pPr>
              <w:spacing w:line="271"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Quick win</w:t>
            </w:r>
          </w:p>
        </w:tc>
      </w:tr>
      <w:tr>
        <w:trPr>
          <w:cantSplit w:val="0"/>
          <w:trHeight w:val="573" w:hRule="atLeast"/>
          <w:tblHeader w:val="0"/>
        </w:trPr>
        <w:tc>
          <w:tcPr/>
          <w:p w:rsidR="00000000" w:rsidDel="00000000" w:rsidP="00000000" w:rsidRDefault="00000000" w:rsidRPr="00000000" w14:paraId="00000169">
            <w:pPr>
              <w:spacing w:line="271"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2.5</w:t>
            </w:r>
          </w:p>
        </w:tc>
        <w:tc>
          <w:tcPr/>
          <w:p w:rsidR="00000000" w:rsidDel="00000000" w:rsidP="00000000" w:rsidRDefault="00000000" w:rsidRPr="00000000" w14:paraId="0000016A">
            <w:pPr>
              <w:spacing w:line="271"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Integrate primary and oral health practices as per Ngā Ara Tika and investigate other models which delineates the activites that primary care teams can take to protect and promote oral health.</w:t>
            </w:r>
          </w:p>
        </w:tc>
        <w:tc>
          <w:tcPr/>
          <w:p w:rsidR="00000000" w:rsidDel="00000000" w:rsidP="00000000" w:rsidRDefault="00000000" w:rsidRPr="00000000" w14:paraId="0000016B">
            <w:pPr>
              <w:spacing w:line="271"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MOH, DHB, NZCGP, PHO</w:t>
            </w:r>
          </w:p>
        </w:tc>
        <w:tc>
          <w:tcPr/>
          <w:p w:rsidR="00000000" w:rsidDel="00000000" w:rsidP="00000000" w:rsidRDefault="00000000" w:rsidRPr="00000000" w14:paraId="0000016C">
            <w:pPr>
              <w:spacing w:line="271"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1-3</w:t>
            </w:r>
          </w:p>
        </w:tc>
        <w:tc>
          <w:tcPr/>
          <w:p w:rsidR="00000000" w:rsidDel="00000000" w:rsidP="00000000" w:rsidRDefault="00000000" w:rsidRPr="00000000" w14:paraId="0000016D">
            <w:pPr>
              <w:spacing w:line="271"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Required</w:t>
            </w:r>
          </w:p>
        </w:tc>
        <w:tc>
          <w:tcPr/>
          <w:p w:rsidR="00000000" w:rsidDel="00000000" w:rsidP="00000000" w:rsidRDefault="00000000" w:rsidRPr="00000000" w14:paraId="0000016E">
            <w:pPr>
              <w:spacing w:line="271"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Ngā Ara Tika and/or other models integrated</w:t>
            </w:r>
          </w:p>
        </w:tc>
        <w:tc>
          <w:tcPr/>
          <w:p w:rsidR="00000000" w:rsidDel="00000000" w:rsidP="00000000" w:rsidRDefault="00000000" w:rsidRPr="00000000" w14:paraId="0000016F">
            <w:pPr>
              <w:spacing w:line="271"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Future gain</w:t>
            </w:r>
          </w:p>
        </w:tc>
      </w:tr>
      <w:tr>
        <w:trPr>
          <w:cantSplit w:val="0"/>
          <w:trHeight w:val="407" w:hRule="atLeast"/>
          <w:tblHeader w:val="0"/>
        </w:trPr>
        <w:tc>
          <w:tcPr>
            <w:gridSpan w:val="7"/>
          </w:tcPr>
          <w:p w:rsidR="00000000" w:rsidDel="00000000" w:rsidP="00000000" w:rsidRDefault="00000000" w:rsidRPr="00000000" w14:paraId="00000170">
            <w:pPr>
              <w:spacing w:line="271" w:lineRule="auto"/>
              <w:jc w:val="both"/>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Oral health service monitoring and accountablity</w:t>
            </w:r>
          </w:p>
        </w:tc>
      </w:tr>
      <w:tr>
        <w:trPr>
          <w:cantSplit w:val="0"/>
          <w:trHeight w:val="573" w:hRule="atLeast"/>
          <w:tblHeader w:val="0"/>
        </w:trPr>
        <w:tc>
          <w:tcPr/>
          <w:p w:rsidR="00000000" w:rsidDel="00000000" w:rsidP="00000000" w:rsidRDefault="00000000" w:rsidRPr="00000000" w14:paraId="00000177">
            <w:pPr>
              <w:spacing w:line="271"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2.6</w:t>
            </w:r>
          </w:p>
        </w:tc>
        <w:tc>
          <w:tcPr/>
          <w:p w:rsidR="00000000" w:rsidDel="00000000" w:rsidP="00000000" w:rsidRDefault="00000000" w:rsidRPr="00000000" w14:paraId="00000178">
            <w:pPr>
              <w:spacing w:line="271"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Report current targets and actions for remediation by ethnicity, and include in MoH reporting cycle. </w:t>
            </w:r>
          </w:p>
        </w:tc>
        <w:tc>
          <w:tcPr/>
          <w:p w:rsidR="00000000" w:rsidDel="00000000" w:rsidP="00000000" w:rsidRDefault="00000000" w:rsidRPr="00000000" w14:paraId="00000179">
            <w:pPr>
              <w:spacing w:line="271"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DHB, MOH</w:t>
            </w:r>
          </w:p>
        </w:tc>
        <w:tc>
          <w:tcPr/>
          <w:p w:rsidR="00000000" w:rsidDel="00000000" w:rsidP="00000000" w:rsidRDefault="00000000" w:rsidRPr="00000000" w14:paraId="0000017A">
            <w:pPr>
              <w:spacing w:line="271"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1-2</w:t>
            </w:r>
          </w:p>
        </w:tc>
        <w:tc>
          <w:tcPr/>
          <w:p w:rsidR="00000000" w:rsidDel="00000000" w:rsidP="00000000" w:rsidRDefault="00000000" w:rsidRPr="00000000" w14:paraId="0000017B">
            <w:pPr>
              <w:spacing w:line="271"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None</w:t>
            </w:r>
          </w:p>
        </w:tc>
        <w:tc>
          <w:tcPr/>
          <w:p w:rsidR="00000000" w:rsidDel="00000000" w:rsidP="00000000" w:rsidRDefault="00000000" w:rsidRPr="00000000" w14:paraId="0000017C">
            <w:pPr>
              <w:spacing w:line="271"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New targets in place, and embedded in DHB reporting </w:t>
            </w:r>
          </w:p>
        </w:tc>
        <w:tc>
          <w:tcPr/>
          <w:p w:rsidR="00000000" w:rsidDel="00000000" w:rsidP="00000000" w:rsidRDefault="00000000" w:rsidRPr="00000000" w14:paraId="0000017D">
            <w:pPr>
              <w:spacing w:line="271"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Quick win</w:t>
            </w:r>
          </w:p>
        </w:tc>
      </w:tr>
      <w:tr>
        <w:trPr>
          <w:cantSplit w:val="0"/>
          <w:trHeight w:val="573" w:hRule="atLeast"/>
          <w:tblHeader w:val="0"/>
        </w:trPr>
        <w:tc>
          <w:tcPr/>
          <w:p w:rsidR="00000000" w:rsidDel="00000000" w:rsidP="00000000" w:rsidRDefault="00000000" w:rsidRPr="00000000" w14:paraId="0000017E">
            <w:pPr>
              <w:spacing w:line="271"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2.7</w:t>
            </w:r>
          </w:p>
        </w:tc>
        <w:tc>
          <w:tcPr/>
          <w:p w:rsidR="00000000" w:rsidDel="00000000" w:rsidP="00000000" w:rsidRDefault="00000000" w:rsidRPr="00000000" w14:paraId="0000017F">
            <w:pPr>
              <w:spacing w:line="271"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Hold all DHB Oral Health Clinical Directors accountable and responsible for oral health equity for Māori.</w:t>
            </w:r>
          </w:p>
        </w:tc>
        <w:tc>
          <w:tcPr/>
          <w:p w:rsidR="00000000" w:rsidDel="00000000" w:rsidP="00000000" w:rsidRDefault="00000000" w:rsidRPr="00000000" w14:paraId="00000180">
            <w:pPr>
              <w:spacing w:line="271"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DHB</w:t>
            </w:r>
          </w:p>
        </w:tc>
        <w:tc>
          <w:tcPr/>
          <w:p w:rsidR="00000000" w:rsidDel="00000000" w:rsidP="00000000" w:rsidRDefault="00000000" w:rsidRPr="00000000" w14:paraId="00000181">
            <w:pPr>
              <w:spacing w:line="271"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1</w:t>
            </w:r>
          </w:p>
        </w:tc>
        <w:tc>
          <w:tcPr/>
          <w:p w:rsidR="00000000" w:rsidDel="00000000" w:rsidP="00000000" w:rsidRDefault="00000000" w:rsidRPr="00000000" w14:paraId="00000182">
            <w:pPr>
              <w:spacing w:line="271"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None</w:t>
            </w:r>
          </w:p>
        </w:tc>
        <w:tc>
          <w:tcPr/>
          <w:p w:rsidR="00000000" w:rsidDel="00000000" w:rsidP="00000000" w:rsidRDefault="00000000" w:rsidRPr="00000000" w14:paraId="00000183">
            <w:pPr>
              <w:spacing w:line="271"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 of DHBs with oral health equity champions</w:t>
            </w:r>
          </w:p>
        </w:tc>
        <w:tc>
          <w:tcPr/>
          <w:p w:rsidR="00000000" w:rsidDel="00000000" w:rsidP="00000000" w:rsidRDefault="00000000" w:rsidRPr="00000000" w14:paraId="00000184">
            <w:pPr>
              <w:spacing w:line="271"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Quick win</w:t>
            </w:r>
          </w:p>
        </w:tc>
      </w:tr>
      <w:tr>
        <w:trPr>
          <w:cantSplit w:val="0"/>
          <w:trHeight w:val="511" w:hRule="atLeast"/>
          <w:tblHeader w:val="0"/>
        </w:trPr>
        <w:tc>
          <w:tcPr/>
          <w:p w:rsidR="00000000" w:rsidDel="00000000" w:rsidP="00000000" w:rsidRDefault="00000000" w:rsidRPr="00000000" w14:paraId="00000185">
            <w:pPr>
              <w:spacing w:line="271"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2.8</w:t>
            </w:r>
          </w:p>
        </w:tc>
        <w:tc>
          <w:tcPr/>
          <w:p w:rsidR="00000000" w:rsidDel="00000000" w:rsidP="00000000" w:rsidRDefault="00000000" w:rsidRPr="00000000" w14:paraId="00000186">
            <w:pPr>
              <w:spacing w:line="271"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Require all DHB funder arms to carryout a tender process for oral health services, with clear expectations, actions, and accountability for improving equity for Māori.</w:t>
            </w:r>
          </w:p>
        </w:tc>
        <w:tc>
          <w:tcPr/>
          <w:p w:rsidR="00000000" w:rsidDel="00000000" w:rsidP="00000000" w:rsidRDefault="00000000" w:rsidRPr="00000000" w14:paraId="00000187">
            <w:pPr>
              <w:spacing w:line="271"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DHB P&amp;F</w:t>
            </w:r>
          </w:p>
        </w:tc>
        <w:tc>
          <w:tcPr/>
          <w:p w:rsidR="00000000" w:rsidDel="00000000" w:rsidP="00000000" w:rsidRDefault="00000000" w:rsidRPr="00000000" w14:paraId="00000188">
            <w:pPr>
              <w:spacing w:line="271"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1-3</w:t>
            </w:r>
          </w:p>
        </w:tc>
        <w:tc>
          <w:tcPr/>
          <w:p w:rsidR="00000000" w:rsidDel="00000000" w:rsidP="00000000" w:rsidRDefault="00000000" w:rsidRPr="00000000" w14:paraId="00000189">
            <w:pPr>
              <w:spacing w:line="271"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Existing</w:t>
            </w:r>
          </w:p>
        </w:tc>
        <w:tc>
          <w:tcPr/>
          <w:p w:rsidR="00000000" w:rsidDel="00000000" w:rsidP="00000000" w:rsidRDefault="00000000" w:rsidRPr="00000000" w14:paraId="0000018A">
            <w:pPr>
              <w:spacing w:line="271"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Providers meet expectations for equity, service responsiveness, and value for money </w:t>
            </w:r>
          </w:p>
          <w:p w:rsidR="00000000" w:rsidDel="00000000" w:rsidP="00000000" w:rsidRDefault="00000000" w:rsidRPr="00000000" w14:paraId="0000018B">
            <w:pPr>
              <w:spacing w:line="271" w:lineRule="auto"/>
              <w:jc w:val="both"/>
              <w:rPr>
                <w:rFonts w:ascii="Quattrocento Sans" w:cs="Quattrocento Sans" w:eastAsia="Quattrocento Sans" w:hAnsi="Quattrocento Sans"/>
                <w:sz w:val="20"/>
                <w:szCs w:val="20"/>
              </w:rPr>
            </w:pPr>
            <w:r w:rsidDel="00000000" w:rsidR="00000000" w:rsidRPr="00000000">
              <w:rPr>
                <w:rtl w:val="0"/>
              </w:rPr>
            </w:r>
          </w:p>
        </w:tc>
        <w:tc>
          <w:tcPr/>
          <w:p w:rsidR="00000000" w:rsidDel="00000000" w:rsidP="00000000" w:rsidRDefault="00000000" w:rsidRPr="00000000" w14:paraId="0000018C">
            <w:pPr>
              <w:spacing w:line="271"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Future gain</w:t>
            </w:r>
          </w:p>
        </w:tc>
      </w:tr>
    </w:tbl>
    <w:p w:rsidR="00000000" w:rsidDel="00000000" w:rsidP="00000000" w:rsidRDefault="00000000" w:rsidRPr="00000000" w14:paraId="0000018D">
      <w:pPr>
        <w:rPr>
          <w:rFonts w:ascii="Quattrocento Sans" w:cs="Quattrocento Sans" w:eastAsia="Quattrocento Sans" w:hAnsi="Quattrocento Sans"/>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18E">
      <w:pPr>
        <w:jc w:val="both"/>
        <w:rPr>
          <w:rFonts w:ascii="Quattrocento Sans" w:cs="Quattrocento Sans" w:eastAsia="Quattrocento Sans" w:hAnsi="Quattrocento Sans"/>
          <w:b w:val="1"/>
          <w:color w:val="1f3864"/>
          <w:sz w:val="40"/>
          <w:szCs w:val="40"/>
        </w:rPr>
      </w:pPr>
      <w:bookmarkStart w:colFirst="0" w:colLast="0" w:name="_heading=h.61obtz2b9r6r" w:id="9"/>
      <w:bookmarkEnd w:id="9"/>
      <w:r w:rsidDel="00000000" w:rsidR="00000000" w:rsidRPr="00000000">
        <w:rPr>
          <w:rFonts w:ascii="Quattrocento Sans" w:cs="Quattrocento Sans" w:eastAsia="Quattrocento Sans" w:hAnsi="Quattrocento Sans"/>
          <w:b w:val="1"/>
          <w:color w:val="1f3864"/>
          <w:sz w:val="40"/>
          <w:szCs w:val="40"/>
          <w:rtl w:val="0"/>
        </w:rPr>
        <w:t xml:space="preserve">Priority 3:  Greater whānau participation</w:t>
      </w:r>
    </w:p>
    <w:tbl>
      <w:tblPr>
        <w:tblStyle w:val="Table3"/>
        <w:tblW w:w="139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3"/>
        <w:gridCol w:w="5132"/>
        <w:gridCol w:w="2268"/>
        <w:gridCol w:w="709"/>
        <w:gridCol w:w="1418"/>
        <w:gridCol w:w="2551"/>
        <w:gridCol w:w="1339"/>
        <w:tblGridChange w:id="0">
          <w:tblGrid>
            <w:gridCol w:w="533"/>
            <w:gridCol w:w="5132"/>
            <w:gridCol w:w="2268"/>
            <w:gridCol w:w="709"/>
            <w:gridCol w:w="1418"/>
            <w:gridCol w:w="2551"/>
            <w:gridCol w:w="1339"/>
          </w:tblGrid>
        </w:tblGridChange>
      </w:tblGrid>
      <w:tr>
        <w:trPr>
          <w:cantSplit w:val="0"/>
          <w:trHeight w:val="440" w:hRule="atLeast"/>
          <w:tblHeader w:val="0"/>
        </w:trPr>
        <w:tc>
          <w:tcPr>
            <w:shd w:fill="e7e6e6" w:val="clear"/>
          </w:tcPr>
          <w:p w:rsidR="00000000" w:rsidDel="00000000" w:rsidP="00000000" w:rsidRDefault="00000000" w:rsidRPr="00000000" w14:paraId="0000018F">
            <w:pPr>
              <w:jc w:val="both"/>
              <w:rPr>
                <w:rFonts w:ascii="Quattrocento Sans" w:cs="Quattrocento Sans" w:eastAsia="Quattrocento Sans" w:hAnsi="Quattrocento Sans"/>
                <w:b w:val="1"/>
                <w:sz w:val="20"/>
                <w:szCs w:val="20"/>
              </w:rPr>
            </w:pPr>
            <w:r w:rsidDel="00000000" w:rsidR="00000000" w:rsidRPr="00000000">
              <w:rPr>
                <w:rtl w:val="0"/>
              </w:rPr>
            </w:r>
          </w:p>
        </w:tc>
        <w:tc>
          <w:tcPr>
            <w:shd w:fill="e7e6e6" w:val="clear"/>
          </w:tcPr>
          <w:p w:rsidR="00000000" w:rsidDel="00000000" w:rsidP="00000000" w:rsidRDefault="00000000" w:rsidRPr="00000000" w14:paraId="00000190">
            <w:pPr>
              <w:jc w:val="both"/>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Action</w:t>
            </w:r>
          </w:p>
        </w:tc>
        <w:tc>
          <w:tcPr>
            <w:shd w:fill="e7e6e6" w:val="clear"/>
          </w:tcPr>
          <w:p w:rsidR="00000000" w:rsidDel="00000000" w:rsidP="00000000" w:rsidRDefault="00000000" w:rsidRPr="00000000" w14:paraId="00000191">
            <w:pPr>
              <w:jc w:val="both"/>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Lead/s</w:t>
            </w:r>
          </w:p>
        </w:tc>
        <w:tc>
          <w:tcPr>
            <w:shd w:fill="e7e6e6" w:val="clear"/>
          </w:tcPr>
          <w:p w:rsidR="00000000" w:rsidDel="00000000" w:rsidP="00000000" w:rsidRDefault="00000000" w:rsidRPr="00000000" w14:paraId="00000192">
            <w:pPr>
              <w:jc w:val="both"/>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Year</w:t>
            </w:r>
          </w:p>
          <w:p w:rsidR="00000000" w:rsidDel="00000000" w:rsidP="00000000" w:rsidRDefault="00000000" w:rsidRPr="00000000" w14:paraId="00000193">
            <w:pPr>
              <w:jc w:val="both"/>
              <w:rPr>
                <w:rFonts w:ascii="Quattrocento Sans" w:cs="Quattrocento Sans" w:eastAsia="Quattrocento Sans" w:hAnsi="Quattrocento Sans"/>
                <w:b w:val="1"/>
              </w:rPr>
            </w:pPr>
            <w:r w:rsidDel="00000000" w:rsidR="00000000" w:rsidRPr="00000000">
              <w:rPr>
                <w:rtl w:val="0"/>
              </w:rPr>
            </w:r>
          </w:p>
        </w:tc>
        <w:tc>
          <w:tcPr>
            <w:shd w:fill="e7e6e6" w:val="clear"/>
          </w:tcPr>
          <w:p w:rsidR="00000000" w:rsidDel="00000000" w:rsidP="00000000" w:rsidRDefault="00000000" w:rsidRPr="00000000" w14:paraId="00000194">
            <w:pPr>
              <w:jc w:val="both"/>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Investment</w:t>
            </w:r>
          </w:p>
        </w:tc>
        <w:tc>
          <w:tcPr>
            <w:shd w:fill="e7e6e6" w:val="clear"/>
          </w:tcPr>
          <w:p w:rsidR="00000000" w:rsidDel="00000000" w:rsidP="00000000" w:rsidRDefault="00000000" w:rsidRPr="00000000" w14:paraId="00000195">
            <w:pPr>
              <w:jc w:val="both"/>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Measuring Success</w:t>
            </w:r>
          </w:p>
        </w:tc>
        <w:tc>
          <w:tcPr>
            <w:shd w:fill="e7e6e6" w:val="clear"/>
          </w:tcPr>
          <w:p w:rsidR="00000000" w:rsidDel="00000000" w:rsidP="00000000" w:rsidRDefault="00000000" w:rsidRPr="00000000" w14:paraId="00000196">
            <w:pPr>
              <w:jc w:val="both"/>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Impact</w:t>
            </w:r>
          </w:p>
        </w:tc>
      </w:tr>
      <w:tr>
        <w:trPr>
          <w:cantSplit w:val="0"/>
          <w:trHeight w:val="1071" w:hRule="atLeast"/>
          <w:tblHeader w:val="0"/>
        </w:trPr>
        <w:tc>
          <w:tcPr/>
          <w:p w:rsidR="00000000" w:rsidDel="00000000" w:rsidP="00000000" w:rsidRDefault="00000000" w:rsidRPr="00000000" w14:paraId="00000197">
            <w:pPr>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3.1</w:t>
            </w:r>
          </w:p>
        </w:tc>
        <w:tc>
          <w:tcPr/>
          <w:p w:rsidR="00000000" w:rsidDel="00000000" w:rsidP="00000000" w:rsidRDefault="00000000" w:rsidRPr="00000000" w14:paraId="00000198">
            <w:pPr>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Develop a Māori oral health research agenda, based on whānau Māori preferences and priorities, and establish a Māori oral health research group.</w:t>
            </w:r>
          </w:p>
        </w:tc>
        <w:tc>
          <w:tcPr/>
          <w:p w:rsidR="00000000" w:rsidDel="00000000" w:rsidP="00000000" w:rsidRDefault="00000000" w:rsidRPr="00000000" w14:paraId="00000199">
            <w:pPr>
              <w:spacing w:after="160" w:line="256"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Te Ao Marama, Te Rōpū Niho Ora, Māori health research group, MOH, Ngā Pae o te Maramatanga</w:t>
            </w:r>
          </w:p>
        </w:tc>
        <w:tc>
          <w:tcPr/>
          <w:p w:rsidR="00000000" w:rsidDel="00000000" w:rsidP="00000000" w:rsidRDefault="00000000" w:rsidRPr="00000000" w14:paraId="0000019A">
            <w:pPr>
              <w:spacing w:after="160" w:line="256"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2-3</w:t>
            </w:r>
          </w:p>
        </w:tc>
        <w:tc>
          <w:tcPr/>
          <w:p w:rsidR="00000000" w:rsidDel="00000000" w:rsidP="00000000" w:rsidRDefault="00000000" w:rsidRPr="00000000" w14:paraId="0000019B">
            <w:pPr>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Required</w:t>
            </w:r>
          </w:p>
        </w:tc>
        <w:tc>
          <w:tcPr/>
          <w:p w:rsidR="00000000" w:rsidDel="00000000" w:rsidP="00000000" w:rsidRDefault="00000000" w:rsidRPr="00000000" w14:paraId="0000019C">
            <w:pPr>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Agenda produced</w:t>
            </w:r>
          </w:p>
          <w:p w:rsidR="00000000" w:rsidDel="00000000" w:rsidP="00000000" w:rsidRDefault="00000000" w:rsidRPr="00000000" w14:paraId="0000019D">
            <w:pPr>
              <w:spacing w:after="160" w:line="256"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Research Group established </w:t>
            </w:r>
          </w:p>
        </w:tc>
        <w:tc>
          <w:tcPr/>
          <w:p w:rsidR="00000000" w:rsidDel="00000000" w:rsidP="00000000" w:rsidRDefault="00000000" w:rsidRPr="00000000" w14:paraId="0000019E">
            <w:pPr>
              <w:spacing w:after="160" w:line="256"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Future gain</w:t>
            </w:r>
          </w:p>
        </w:tc>
      </w:tr>
      <w:tr>
        <w:trPr>
          <w:cantSplit w:val="0"/>
          <w:trHeight w:val="1071" w:hRule="atLeast"/>
          <w:tblHeader w:val="0"/>
        </w:trPr>
        <w:tc>
          <w:tcPr/>
          <w:p w:rsidR="00000000" w:rsidDel="00000000" w:rsidP="00000000" w:rsidRDefault="00000000" w:rsidRPr="00000000" w14:paraId="0000019F">
            <w:pPr>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3.2</w:t>
            </w:r>
          </w:p>
        </w:tc>
        <w:tc>
          <w:tcPr/>
          <w:p w:rsidR="00000000" w:rsidDel="00000000" w:rsidP="00000000" w:rsidRDefault="00000000" w:rsidRPr="00000000" w14:paraId="000001A0">
            <w:pPr>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Co-design approaches with whānau Māori to ensure their preferences and priorities are embedded in service design and delivery.</w:t>
            </w:r>
          </w:p>
        </w:tc>
        <w:tc>
          <w:tcPr/>
          <w:p w:rsidR="00000000" w:rsidDel="00000000" w:rsidP="00000000" w:rsidRDefault="00000000" w:rsidRPr="00000000" w14:paraId="000001A1">
            <w:pPr>
              <w:spacing w:after="160" w:line="256"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DHB COHS, DHB Maori Health, Māori community, Te Ao Marama, Te Rōpū Niho Ora, Māori health research group</w:t>
            </w:r>
          </w:p>
        </w:tc>
        <w:tc>
          <w:tcPr/>
          <w:p w:rsidR="00000000" w:rsidDel="00000000" w:rsidP="00000000" w:rsidRDefault="00000000" w:rsidRPr="00000000" w14:paraId="000001A2">
            <w:pPr>
              <w:spacing w:after="160" w:line="256"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1 – 3</w:t>
            </w:r>
          </w:p>
          <w:p w:rsidR="00000000" w:rsidDel="00000000" w:rsidP="00000000" w:rsidRDefault="00000000" w:rsidRPr="00000000" w14:paraId="000001A3">
            <w:pPr>
              <w:spacing w:after="160" w:line="256" w:lineRule="auto"/>
              <w:jc w:val="both"/>
              <w:rPr>
                <w:rFonts w:ascii="Quattrocento Sans" w:cs="Quattrocento Sans" w:eastAsia="Quattrocento Sans" w:hAnsi="Quattrocento Sans"/>
                <w:sz w:val="20"/>
                <w:szCs w:val="20"/>
              </w:rPr>
            </w:pPr>
            <w:r w:rsidDel="00000000" w:rsidR="00000000" w:rsidRPr="00000000">
              <w:rPr>
                <w:rtl w:val="0"/>
              </w:rPr>
            </w:r>
          </w:p>
        </w:tc>
        <w:tc>
          <w:tcPr/>
          <w:p w:rsidR="00000000" w:rsidDel="00000000" w:rsidP="00000000" w:rsidRDefault="00000000" w:rsidRPr="00000000" w14:paraId="000001A4">
            <w:pPr>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Required</w:t>
            </w:r>
          </w:p>
        </w:tc>
        <w:tc>
          <w:tcPr/>
          <w:p w:rsidR="00000000" w:rsidDel="00000000" w:rsidP="00000000" w:rsidRDefault="00000000" w:rsidRPr="00000000" w14:paraId="000001A5">
            <w:pPr>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Whānau preferences are reflected in services</w:t>
            </w:r>
          </w:p>
        </w:tc>
        <w:tc>
          <w:tcPr/>
          <w:p w:rsidR="00000000" w:rsidDel="00000000" w:rsidP="00000000" w:rsidRDefault="00000000" w:rsidRPr="00000000" w14:paraId="000001A6">
            <w:pPr>
              <w:spacing w:after="160" w:line="256"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Future gain</w:t>
            </w:r>
          </w:p>
        </w:tc>
      </w:tr>
      <w:tr>
        <w:trPr>
          <w:cantSplit w:val="0"/>
          <w:trHeight w:val="1071" w:hRule="atLeast"/>
          <w:tblHeader w:val="0"/>
        </w:trPr>
        <w:tc>
          <w:tcPr/>
          <w:p w:rsidR="00000000" w:rsidDel="00000000" w:rsidP="00000000" w:rsidRDefault="00000000" w:rsidRPr="00000000" w14:paraId="000001A7">
            <w:pPr>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3.3</w:t>
            </w:r>
          </w:p>
        </w:tc>
        <w:tc>
          <w:tcPr/>
          <w:p w:rsidR="00000000" w:rsidDel="00000000" w:rsidP="00000000" w:rsidRDefault="00000000" w:rsidRPr="00000000" w14:paraId="000001A8">
            <w:pPr>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Undertake a whānau experience survey to gauge service responsive to whānau.</w:t>
            </w:r>
          </w:p>
        </w:tc>
        <w:tc>
          <w:tcPr/>
          <w:p w:rsidR="00000000" w:rsidDel="00000000" w:rsidP="00000000" w:rsidRDefault="00000000" w:rsidRPr="00000000" w14:paraId="000001A9">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Te Rōpū Niho Ora</w:t>
            </w:r>
          </w:p>
        </w:tc>
        <w:tc>
          <w:tcPr/>
          <w:p w:rsidR="00000000" w:rsidDel="00000000" w:rsidP="00000000" w:rsidRDefault="00000000" w:rsidRPr="00000000" w14:paraId="000001AA">
            <w:pPr>
              <w:spacing w:after="160" w:line="256"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1-3</w:t>
            </w:r>
          </w:p>
        </w:tc>
        <w:tc>
          <w:tcPr/>
          <w:p w:rsidR="00000000" w:rsidDel="00000000" w:rsidP="00000000" w:rsidRDefault="00000000" w:rsidRPr="00000000" w14:paraId="000001AB">
            <w:pPr>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Required</w:t>
            </w:r>
          </w:p>
        </w:tc>
        <w:tc>
          <w:tcPr/>
          <w:p w:rsidR="00000000" w:rsidDel="00000000" w:rsidP="00000000" w:rsidRDefault="00000000" w:rsidRPr="00000000" w14:paraId="000001AC">
            <w:pPr>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Survey findings reported and a plan to implement improvements in progress</w:t>
            </w:r>
          </w:p>
        </w:tc>
        <w:tc>
          <w:tcPr/>
          <w:p w:rsidR="00000000" w:rsidDel="00000000" w:rsidP="00000000" w:rsidRDefault="00000000" w:rsidRPr="00000000" w14:paraId="000001AD">
            <w:pPr>
              <w:spacing w:after="160" w:line="256"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Future gain</w:t>
            </w:r>
          </w:p>
        </w:tc>
      </w:tr>
      <w:tr>
        <w:trPr>
          <w:cantSplit w:val="0"/>
          <w:trHeight w:val="1071" w:hRule="atLeast"/>
          <w:tblHeader w:val="0"/>
        </w:trPr>
        <w:tc>
          <w:tcPr/>
          <w:p w:rsidR="00000000" w:rsidDel="00000000" w:rsidP="00000000" w:rsidRDefault="00000000" w:rsidRPr="00000000" w14:paraId="000001AE">
            <w:pPr>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3.4</w:t>
            </w:r>
          </w:p>
        </w:tc>
        <w:tc>
          <w:tcPr/>
          <w:p w:rsidR="00000000" w:rsidDel="00000000" w:rsidP="00000000" w:rsidRDefault="00000000" w:rsidRPr="00000000" w14:paraId="000001AF">
            <w:pPr>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Provide a forum for community and stakeholders to advocate for equitable oral health outcomes, be informed, lead research, and provide evidence based policy advice.</w:t>
            </w:r>
          </w:p>
        </w:tc>
        <w:tc>
          <w:tcPr/>
          <w:p w:rsidR="00000000" w:rsidDel="00000000" w:rsidP="00000000" w:rsidRDefault="00000000" w:rsidRPr="00000000" w14:paraId="000001B0">
            <w:pPr>
              <w:spacing w:after="160" w:line="256"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MOH, Te Rōpū Niho Ora</w:t>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Quattrocento Sans" w:cs="Quattrocento Sans" w:eastAsia="Quattrocento Sans" w:hAnsi="Quattrocento San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2">
            <w:pPr>
              <w:spacing w:after="160" w:line="256" w:lineRule="auto"/>
              <w:jc w:val="both"/>
              <w:rPr>
                <w:rFonts w:ascii="Quattrocento Sans" w:cs="Quattrocento Sans" w:eastAsia="Quattrocento Sans" w:hAnsi="Quattrocento Sans"/>
                <w:sz w:val="20"/>
                <w:szCs w:val="20"/>
              </w:rPr>
            </w:pPr>
            <w:r w:rsidDel="00000000" w:rsidR="00000000" w:rsidRPr="00000000">
              <w:rPr>
                <w:rtl w:val="0"/>
              </w:rPr>
            </w:r>
          </w:p>
        </w:tc>
        <w:tc>
          <w:tcPr/>
          <w:p w:rsidR="00000000" w:rsidDel="00000000" w:rsidP="00000000" w:rsidRDefault="00000000" w:rsidRPr="00000000" w14:paraId="000001B3">
            <w:pPr>
              <w:spacing w:after="160" w:line="256"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1</w:t>
            </w:r>
          </w:p>
        </w:tc>
        <w:tc>
          <w:tcPr/>
          <w:p w:rsidR="00000000" w:rsidDel="00000000" w:rsidP="00000000" w:rsidRDefault="00000000" w:rsidRPr="00000000" w14:paraId="000001B4">
            <w:pPr>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Required</w:t>
            </w:r>
          </w:p>
        </w:tc>
        <w:tc>
          <w:tcPr/>
          <w:p w:rsidR="00000000" w:rsidDel="00000000" w:rsidP="00000000" w:rsidRDefault="00000000" w:rsidRPr="00000000" w14:paraId="000001B5">
            <w:pPr>
              <w:spacing w:after="160" w:line="256"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KPI’s to be put in place. </w:t>
            </w:r>
          </w:p>
          <w:p w:rsidR="00000000" w:rsidDel="00000000" w:rsidP="00000000" w:rsidRDefault="00000000" w:rsidRPr="00000000" w14:paraId="000001B6">
            <w:pPr>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Research data based information</w:t>
            </w:r>
          </w:p>
        </w:tc>
        <w:tc>
          <w:tcPr/>
          <w:p w:rsidR="00000000" w:rsidDel="00000000" w:rsidP="00000000" w:rsidRDefault="00000000" w:rsidRPr="00000000" w14:paraId="000001B7">
            <w:pPr>
              <w:spacing w:after="160" w:line="256"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Quick win</w:t>
            </w:r>
          </w:p>
        </w:tc>
      </w:tr>
      <w:tr>
        <w:trPr>
          <w:cantSplit w:val="0"/>
          <w:trHeight w:val="1535" w:hRule="atLeast"/>
          <w:tblHeader w:val="0"/>
        </w:trPr>
        <w:tc>
          <w:tcPr/>
          <w:p w:rsidR="00000000" w:rsidDel="00000000" w:rsidP="00000000" w:rsidRDefault="00000000" w:rsidRPr="00000000" w14:paraId="000001B8">
            <w:pPr>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3.5</w:t>
            </w:r>
          </w:p>
        </w:tc>
        <w:tc>
          <w:tcPr/>
          <w:p w:rsidR="00000000" w:rsidDel="00000000" w:rsidP="00000000" w:rsidRDefault="00000000" w:rsidRPr="00000000" w14:paraId="000001B9">
            <w:pPr>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Establish a Māori Oral Health Equity Reference Group, with Māori community representation, to oversee the implementation of the Māori Oral Health Equity Action Plan.</w:t>
            </w:r>
          </w:p>
        </w:tc>
        <w:tc>
          <w:tcPr/>
          <w:p w:rsidR="00000000" w:rsidDel="00000000" w:rsidP="00000000" w:rsidRDefault="00000000" w:rsidRPr="00000000" w14:paraId="000001BA">
            <w:pPr>
              <w:spacing w:after="160" w:line="256"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MOH, Te Rōpū Niho Ora</w:t>
            </w:r>
          </w:p>
          <w:p w:rsidR="00000000" w:rsidDel="00000000" w:rsidP="00000000" w:rsidRDefault="00000000" w:rsidRPr="00000000" w14:paraId="000001BB">
            <w:pPr>
              <w:spacing w:after="160" w:line="256"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Partners: Te Ao Marama, DHB, Te Rōpū Niho Ora, Māori community, Primary Care, Tertiary provider, Professional bodies</w:t>
            </w:r>
          </w:p>
        </w:tc>
        <w:tc>
          <w:tcPr/>
          <w:p w:rsidR="00000000" w:rsidDel="00000000" w:rsidP="00000000" w:rsidRDefault="00000000" w:rsidRPr="00000000" w14:paraId="000001BC">
            <w:pPr>
              <w:spacing w:after="160" w:line="256"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1</w:t>
            </w:r>
          </w:p>
        </w:tc>
        <w:tc>
          <w:tcPr/>
          <w:p w:rsidR="00000000" w:rsidDel="00000000" w:rsidP="00000000" w:rsidRDefault="00000000" w:rsidRPr="00000000" w14:paraId="000001BD">
            <w:pPr>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Required</w:t>
            </w:r>
          </w:p>
        </w:tc>
        <w:tc>
          <w:tcPr/>
          <w:p w:rsidR="00000000" w:rsidDel="00000000" w:rsidP="00000000" w:rsidRDefault="00000000" w:rsidRPr="00000000" w14:paraId="000001BE">
            <w:pPr>
              <w:spacing w:after="160" w:line="256"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Group established </w:t>
            </w:r>
          </w:p>
          <w:p w:rsidR="00000000" w:rsidDel="00000000" w:rsidP="00000000" w:rsidRDefault="00000000" w:rsidRPr="00000000" w14:paraId="000001BF">
            <w:pPr>
              <w:spacing w:after="160" w:line="256"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Successful implementation by end of Year 3</w:t>
            </w:r>
          </w:p>
        </w:tc>
        <w:tc>
          <w:tcPr/>
          <w:p w:rsidR="00000000" w:rsidDel="00000000" w:rsidP="00000000" w:rsidRDefault="00000000" w:rsidRPr="00000000" w14:paraId="000001C0">
            <w:pPr>
              <w:spacing w:after="160" w:line="256"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Quick win</w:t>
            </w:r>
          </w:p>
        </w:tc>
      </w:tr>
    </w:tbl>
    <w:p w:rsidR="00000000" w:rsidDel="00000000" w:rsidP="00000000" w:rsidRDefault="00000000" w:rsidRPr="00000000" w14:paraId="000001C1">
      <w:pP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C2">
      <w:pPr>
        <w:jc w:val="both"/>
        <w:rPr>
          <w:rFonts w:ascii="Quattrocento Sans" w:cs="Quattrocento Sans" w:eastAsia="Quattrocento Sans" w:hAnsi="Quattrocento Sans"/>
          <w:color w:val="1f3864"/>
          <w:sz w:val="40"/>
          <w:szCs w:val="40"/>
        </w:rPr>
      </w:pPr>
      <w:bookmarkStart w:colFirst="0" w:colLast="0" w:name="_heading=h.7832jpqfi82d" w:id="10"/>
      <w:bookmarkEnd w:id="10"/>
      <w:r w:rsidDel="00000000" w:rsidR="00000000" w:rsidRPr="00000000">
        <w:rPr>
          <w:rFonts w:ascii="Quattrocento Sans" w:cs="Quattrocento Sans" w:eastAsia="Quattrocento Sans" w:hAnsi="Quattrocento Sans"/>
          <w:b w:val="1"/>
          <w:color w:val="1f3864"/>
          <w:sz w:val="40"/>
          <w:szCs w:val="40"/>
          <w:rtl w:val="0"/>
        </w:rPr>
        <w:t xml:space="preserve">Priority 4:  Build a fit for purpose oral health workforce</w:t>
      </w:r>
      <w:r w:rsidDel="00000000" w:rsidR="00000000" w:rsidRPr="00000000">
        <w:rPr>
          <w:rtl w:val="0"/>
        </w:rPr>
      </w:r>
    </w:p>
    <w:p w:rsidR="00000000" w:rsidDel="00000000" w:rsidP="00000000" w:rsidRDefault="00000000" w:rsidRPr="00000000" w14:paraId="000001C3">
      <w:pPr>
        <w:jc w:val="both"/>
        <w:rPr>
          <w:rFonts w:ascii="Quattrocento Sans" w:cs="Quattrocento Sans" w:eastAsia="Quattrocento Sans" w:hAnsi="Quattrocento Sans"/>
          <w:b w:val="1"/>
          <w:sz w:val="20"/>
          <w:szCs w:val="20"/>
        </w:rPr>
      </w:pPr>
      <w:r w:rsidDel="00000000" w:rsidR="00000000" w:rsidRPr="00000000">
        <w:rPr>
          <w:rtl w:val="0"/>
        </w:rPr>
      </w:r>
    </w:p>
    <w:tbl>
      <w:tblPr>
        <w:tblStyle w:val="Table4"/>
        <w:tblW w:w="139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9"/>
        <w:gridCol w:w="5012"/>
        <w:gridCol w:w="2212"/>
        <w:gridCol w:w="707"/>
        <w:gridCol w:w="1351"/>
        <w:gridCol w:w="2898"/>
        <w:gridCol w:w="1181"/>
        <w:tblGridChange w:id="0">
          <w:tblGrid>
            <w:gridCol w:w="589"/>
            <w:gridCol w:w="5012"/>
            <w:gridCol w:w="2212"/>
            <w:gridCol w:w="707"/>
            <w:gridCol w:w="1351"/>
            <w:gridCol w:w="2898"/>
            <w:gridCol w:w="1181"/>
          </w:tblGrid>
        </w:tblGridChange>
      </w:tblGrid>
      <w:tr>
        <w:trPr>
          <w:cantSplit w:val="0"/>
          <w:trHeight w:val="447" w:hRule="atLeast"/>
          <w:tblHeader w:val="0"/>
        </w:trPr>
        <w:tc>
          <w:tcPr>
            <w:shd w:fill="e7e6e6" w:val="clear"/>
          </w:tcPr>
          <w:p w:rsidR="00000000" w:rsidDel="00000000" w:rsidP="00000000" w:rsidRDefault="00000000" w:rsidRPr="00000000" w14:paraId="000001C4">
            <w:pPr>
              <w:jc w:val="both"/>
              <w:rPr>
                <w:rFonts w:ascii="Quattrocento Sans" w:cs="Quattrocento Sans" w:eastAsia="Quattrocento Sans" w:hAnsi="Quattrocento Sans"/>
                <w:b w:val="1"/>
                <w:sz w:val="20"/>
                <w:szCs w:val="20"/>
              </w:rPr>
            </w:pPr>
            <w:r w:rsidDel="00000000" w:rsidR="00000000" w:rsidRPr="00000000">
              <w:rPr>
                <w:rtl w:val="0"/>
              </w:rPr>
            </w:r>
          </w:p>
        </w:tc>
        <w:tc>
          <w:tcPr>
            <w:shd w:fill="e7e6e6" w:val="clear"/>
          </w:tcPr>
          <w:p w:rsidR="00000000" w:rsidDel="00000000" w:rsidP="00000000" w:rsidRDefault="00000000" w:rsidRPr="00000000" w14:paraId="000001C5">
            <w:pPr>
              <w:jc w:val="both"/>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Action</w:t>
            </w:r>
          </w:p>
          <w:p w:rsidR="00000000" w:rsidDel="00000000" w:rsidP="00000000" w:rsidRDefault="00000000" w:rsidRPr="00000000" w14:paraId="000001C6">
            <w:pPr>
              <w:jc w:val="both"/>
              <w:rPr>
                <w:rFonts w:ascii="Quattrocento Sans" w:cs="Quattrocento Sans" w:eastAsia="Quattrocento Sans" w:hAnsi="Quattrocento Sans"/>
                <w:b w:val="1"/>
              </w:rPr>
            </w:pPr>
            <w:r w:rsidDel="00000000" w:rsidR="00000000" w:rsidRPr="00000000">
              <w:rPr>
                <w:rtl w:val="0"/>
              </w:rPr>
            </w:r>
          </w:p>
        </w:tc>
        <w:tc>
          <w:tcPr>
            <w:shd w:fill="e7e6e6" w:val="clear"/>
          </w:tcPr>
          <w:p w:rsidR="00000000" w:rsidDel="00000000" w:rsidP="00000000" w:rsidRDefault="00000000" w:rsidRPr="00000000" w14:paraId="000001C7">
            <w:pPr>
              <w:jc w:val="both"/>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Lead/s</w:t>
            </w:r>
          </w:p>
        </w:tc>
        <w:tc>
          <w:tcPr>
            <w:shd w:fill="e7e6e6" w:val="clear"/>
          </w:tcPr>
          <w:p w:rsidR="00000000" w:rsidDel="00000000" w:rsidP="00000000" w:rsidRDefault="00000000" w:rsidRPr="00000000" w14:paraId="000001C8">
            <w:pPr>
              <w:jc w:val="both"/>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Year</w:t>
            </w:r>
          </w:p>
        </w:tc>
        <w:tc>
          <w:tcPr>
            <w:shd w:fill="e7e6e6" w:val="clear"/>
          </w:tcPr>
          <w:p w:rsidR="00000000" w:rsidDel="00000000" w:rsidP="00000000" w:rsidRDefault="00000000" w:rsidRPr="00000000" w14:paraId="000001C9">
            <w:pPr>
              <w:jc w:val="both"/>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Investment</w:t>
            </w:r>
          </w:p>
        </w:tc>
        <w:tc>
          <w:tcPr>
            <w:shd w:fill="e7e6e6" w:val="clear"/>
          </w:tcPr>
          <w:p w:rsidR="00000000" w:rsidDel="00000000" w:rsidP="00000000" w:rsidRDefault="00000000" w:rsidRPr="00000000" w14:paraId="000001CA">
            <w:pPr>
              <w:jc w:val="both"/>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Measuring Success</w:t>
            </w:r>
          </w:p>
        </w:tc>
        <w:tc>
          <w:tcPr>
            <w:shd w:fill="e7e6e6" w:val="clear"/>
          </w:tcPr>
          <w:p w:rsidR="00000000" w:rsidDel="00000000" w:rsidP="00000000" w:rsidRDefault="00000000" w:rsidRPr="00000000" w14:paraId="000001CB">
            <w:pPr>
              <w:jc w:val="both"/>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Impact</w:t>
            </w:r>
          </w:p>
        </w:tc>
      </w:tr>
      <w:tr>
        <w:trPr>
          <w:cantSplit w:val="0"/>
          <w:trHeight w:val="488" w:hRule="atLeast"/>
          <w:tblHeader w:val="0"/>
        </w:trPr>
        <w:tc>
          <w:tcPr>
            <w:gridSpan w:val="7"/>
          </w:tcPr>
          <w:p w:rsidR="00000000" w:rsidDel="00000000" w:rsidP="00000000" w:rsidRDefault="00000000" w:rsidRPr="00000000" w14:paraId="000001CC">
            <w:pPr>
              <w:jc w:val="both"/>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Strengthening the oral health workforce</w:t>
            </w:r>
          </w:p>
        </w:tc>
      </w:tr>
      <w:tr>
        <w:trPr>
          <w:cantSplit w:val="0"/>
          <w:trHeight w:val="488" w:hRule="atLeast"/>
          <w:tblHeader w:val="0"/>
        </w:trPr>
        <w:tc>
          <w:tcPr/>
          <w:p w:rsidR="00000000" w:rsidDel="00000000" w:rsidP="00000000" w:rsidRDefault="00000000" w:rsidRPr="00000000" w14:paraId="000001D3">
            <w:pPr>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4.1</w:t>
            </w:r>
          </w:p>
        </w:tc>
        <w:tc>
          <w:tcPr/>
          <w:p w:rsidR="00000000" w:rsidDel="00000000" w:rsidP="00000000" w:rsidRDefault="00000000" w:rsidRPr="00000000" w14:paraId="000001D4">
            <w:pPr>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Develop a workforce plan for the non-clinical oral health workforce roles i.e. for those working in oral health education, promotion and integrated settings that includes: training, resources, and competencies.  </w:t>
            </w:r>
          </w:p>
        </w:tc>
        <w:tc>
          <w:tcPr/>
          <w:p w:rsidR="00000000" w:rsidDel="00000000" w:rsidP="00000000" w:rsidRDefault="00000000" w:rsidRPr="00000000" w14:paraId="000001D5">
            <w:pPr>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HWNZ</w:t>
            </w:r>
          </w:p>
          <w:p w:rsidR="00000000" w:rsidDel="00000000" w:rsidP="00000000" w:rsidRDefault="00000000" w:rsidRPr="00000000" w14:paraId="000001D6">
            <w:pPr>
              <w:jc w:val="both"/>
              <w:rPr>
                <w:rFonts w:ascii="Quattrocento Sans" w:cs="Quattrocento Sans" w:eastAsia="Quattrocento Sans" w:hAnsi="Quattrocento Sans"/>
                <w:sz w:val="20"/>
                <w:szCs w:val="20"/>
              </w:rPr>
            </w:pPr>
            <w:r w:rsidDel="00000000" w:rsidR="00000000" w:rsidRPr="00000000">
              <w:rPr>
                <w:rtl w:val="0"/>
              </w:rPr>
            </w:r>
          </w:p>
        </w:tc>
        <w:tc>
          <w:tcPr/>
          <w:p w:rsidR="00000000" w:rsidDel="00000000" w:rsidP="00000000" w:rsidRDefault="00000000" w:rsidRPr="00000000" w14:paraId="000001D7">
            <w:pPr>
              <w:spacing w:after="160" w:line="256"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1-3</w:t>
            </w:r>
          </w:p>
        </w:tc>
        <w:tc>
          <w:tcPr/>
          <w:p w:rsidR="00000000" w:rsidDel="00000000" w:rsidP="00000000" w:rsidRDefault="00000000" w:rsidRPr="00000000" w14:paraId="000001D8">
            <w:pPr>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Required </w:t>
            </w:r>
          </w:p>
        </w:tc>
        <w:tc>
          <w:tcPr/>
          <w:p w:rsidR="00000000" w:rsidDel="00000000" w:rsidP="00000000" w:rsidRDefault="00000000" w:rsidRPr="00000000" w14:paraId="000001D9">
            <w:pPr>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Training, resources, and competencies are developed</w:t>
            </w:r>
          </w:p>
        </w:tc>
        <w:tc>
          <w:tcPr/>
          <w:p w:rsidR="00000000" w:rsidDel="00000000" w:rsidP="00000000" w:rsidRDefault="00000000" w:rsidRPr="00000000" w14:paraId="000001DA">
            <w:pPr>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Future gain</w:t>
            </w:r>
          </w:p>
        </w:tc>
      </w:tr>
      <w:tr>
        <w:trPr>
          <w:cantSplit w:val="0"/>
          <w:trHeight w:val="488" w:hRule="atLeast"/>
          <w:tblHeader w:val="0"/>
        </w:trPr>
        <w:tc>
          <w:tcPr/>
          <w:p w:rsidR="00000000" w:rsidDel="00000000" w:rsidP="00000000" w:rsidRDefault="00000000" w:rsidRPr="00000000" w14:paraId="000001DB">
            <w:pPr>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4.2</w:t>
            </w:r>
          </w:p>
        </w:tc>
        <w:tc>
          <w:tcPr/>
          <w:p w:rsidR="00000000" w:rsidDel="00000000" w:rsidP="00000000" w:rsidRDefault="00000000" w:rsidRPr="00000000" w14:paraId="000001DC">
            <w:pPr>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Develop a comprehensive workforce plan that transitions new graduates into a new entry training programme, establishes an upskilling regime for practitioners.  The workforce plan includes clinical competence, cultural safety, social responsibility, and equity. </w:t>
            </w:r>
          </w:p>
        </w:tc>
        <w:tc>
          <w:tcPr/>
          <w:p w:rsidR="00000000" w:rsidDel="00000000" w:rsidP="00000000" w:rsidRDefault="00000000" w:rsidRPr="00000000" w14:paraId="000001DD">
            <w:pPr>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Tertiary providers, HWNZ, DCNZ</w:t>
            </w:r>
          </w:p>
          <w:p w:rsidR="00000000" w:rsidDel="00000000" w:rsidP="00000000" w:rsidRDefault="00000000" w:rsidRPr="00000000" w14:paraId="000001DE">
            <w:pPr>
              <w:jc w:val="both"/>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1DF">
            <w:pPr>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Partners: Te Rōpū Niho Ora, Te Ao Marama, Associations </w:t>
            </w:r>
          </w:p>
        </w:tc>
        <w:tc>
          <w:tcPr/>
          <w:p w:rsidR="00000000" w:rsidDel="00000000" w:rsidP="00000000" w:rsidRDefault="00000000" w:rsidRPr="00000000" w14:paraId="000001E0">
            <w:pPr>
              <w:spacing w:after="160" w:line="256"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1-3</w:t>
            </w:r>
          </w:p>
        </w:tc>
        <w:tc>
          <w:tcPr/>
          <w:p w:rsidR="00000000" w:rsidDel="00000000" w:rsidP="00000000" w:rsidRDefault="00000000" w:rsidRPr="00000000" w14:paraId="000001E1">
            <w:pPr>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Required</w:t>
            </w:r>
          </w:p>
        </w:tc>
        <w:tc>
          <w:tcPr/>
          <w:p w:rsidR="00000000" w:rsidDel="00000000" w:rsidP="00000000" w:rsidRDefault="00000000" w:rsidRPr="00000000" w14:paraId="000001E2">
            <w:pPr>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Workforce plan developed</w:t>
            </w:r>
          </w:p>
          <w:p w:rsidR="00000000" w:rsidDel="00000000" w:rsidP="00000000" w:rsidRDefault="00000000" w:rsidRPr="00000000" w14:paraId="000001E3">
            <w:pPr>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 new graduates entering and completing new entry training programmes</w:t>
            </w:r>
          </w:p>
          <w:p w:rsidR="00000000" w:rsidDel="00000000" w:rsidP="00000000" w:rsidRDefault="00000000" w:rsidRPr="00000000" w14:paraId="000001E4">
            <w:pPr>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Workforce plan contains explicit actions for cultural, safety, social responsibility and equity </w:t>
            </w:r>
          </w:p>
          <w:p w:rsidR="00000000" w:rsidDel="00000000" w:rsidP="00000000" w:rsidRDefault="00000000" w:rsidRPr="00000000" w14:paraId="000001E5">
            <w:pPr>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Implementation of workforce plan leads to practice changes reflecting cultural safety, social responsibility, and equity</w:t>
            </w:r>
          </w:p>
        </w:tc>
        <w:tc>
          <w:tcPr/>
          <w:p w:rsidR="00000000" w:rsidDel="00000000" w:rsidP="00000000" w:rsidRDefault="00000000" w:rsidRPr="00000000" w14:paraId="000001E6">
            <w:pPr>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Future gain</w:t>
            </w:r>
          </w:p>
        </w:tc>
      </w:tr>
      <w:tr>
        <w:trPr>
          <w:cantSplit w:val="0"/>
          <w:trHeight w:val="488" w:hRule="atLeast"/>
          <w:tblHeader w:val="0"/>
        </w:trPr>
        <w:tc>
          <w:tcPr/>
          <w:p w:rsidR="00000000" w:rsidDel="00000000" w:rsidP="00000000" w:rsidRDefault="00000000" w:rsidRPr="00000000" w14:paraId="000001E7">
            <w:pPr>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4.3</w:t>
            </w:r>
          </w:p>
        </w:tc>
        <w:tc>
          <w:tcPr/>
          <w:p w:rsidR="00000000" w:rsidDel="00000000" w:rsidP="00000000" w:rsidRDefault="00000000" w:rsidRPr="00000000" w14:paraId="000001E8">
            <w:pPr>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Expand the HWNZ Voluntary Bonding Scheme to include oral health therapy; provide greater incentive for placements at Māori Oral Health Providers, and report progress to Te Rōpū Niho Ora &amp; Te Ao Marama.</w:t>
            </w:r>
          </w:p>
        </w:tc>
        <w:tc>
          <w:tcPr/>
          <w:p w:rsidR="00000000" w:rsidDel="00000000" w:rsidP="00000000" w:rsidRDefault="00000000" w:rsidRPr="00000000" w14:paraId="000001E9">
            <w:pPr>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HWNZ</w:t>
            </w:r>
          </w:p>
        </w:tc>
        <w:tc>
          <w:tcPr/>
          <w:p w:rsidR="00000000" w:rsidDel="00000000" w:rsidP="00000000" w:rsidRDefault="00000000" w:rsidRPr="00000000" w14:paraId="000001EA">
            <w:pPr>
              <w:spacing w:after="160" w:line="256"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1</w:t>
            </w:r>
          </w:p>
        </w:tc>
        <w:tc>
          <w:tcPr/>
          <w:p w:rsidR="00000000" w:rsidDel="00000000" w:rsidP="00000000" w:rsidRDefault="00000000" w:rsidRPr="00000000" w14:paraId="000001EB">
            <w:pPr>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None</w:t>
            </w:r>
          </w:p>
        </w:tc>
        <w:tc>
          <w:tcPr/>
          <w:p w:rsidR="00000000" w:rsidDel="00000000" w:rsidP="00000000" w:rsidRDefault="00000000" w:rsidRPr="00000000" w14:paraId="000001EC">
            <w:pPr>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HWNZ expanded to include DT</w:t>
            </w:r>
          </w:p>
          <w:p w:rsidR="00000000" w:rsidDel="00000000" w:rsidP="00000000" w:rsidRDefault="00000000" w:rsidRPr="00000000" w14:paraId="000001ED">
            <w:pPr>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MOHP VBS placements incentivised</w:t>
            </w:r>
          </w:p>
          <w:p w:rsidR="00000000" w:rsidDel="00000000" w:rsidP="00000000" w:rsidRDefault="00000000" w:rsidRPr="00000000" w14:paraId="000001EE">
            <w:pPr>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Reporting to Te Rōpū Niho Ora/TAM annually to monitor participation</w:t>
            </w:r>
          </w:p>
        </w:tc>
        <w:tc>
          <w:tcPr/>
          <w:p w:rsidR="00000000" w:rsidDel="00000000" w:rsidP="00000000" w:rsidRDefault="00000000" w:rsidRPr="00000000" w14:paraId="000001EF">
            <w:pPr>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Quick win</w:t>
            </w:r>
          </w:p>
          <w:p w:rsidR="00000000" w:rsidDel="00000000" w:rsidP="00000000" w:rsidRDefault="00000000" w:rsidRPr="00000000" w14:paraId="000001F0">
            <w:pPr>
              <w:jc w:val="both"/>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1F1">
            <w:pPr>
              <w:jc w:val="both"/>
              <w:rPr>
                <w:rFonts w:ascii="Quattrocento Sans" w:cs="Quattrocento Sans" w:eastAsia="Quattrocento Sans" w:hAnsi="Quattrocento Sans"/>
                <w:sz w:val="20"/>
                <w:szCs w:val="20"/>
              </w:rPr>
            </w:pPr>
            <w:r w:rsidDel="00000000" w:rsidR="00000000" w:rsidRPr="00000000">
              <w:rPr>
                <w:rtl w:val="0"/>
              </w:rPr>
            </w:r>
          </w:p>
        </w:tc>
      </w:tr>
      <w:tr>
        <w:trPr>
          <w:cantSplit w:val="0"/>
          <w:trHeight w:val="425" w:hRule="atLeast"/>
          <w:tblHeader w:val="0"/>
        </w:trPr>
        <w:tc>
          <w:tcPr>
            <w:gridSpan w:val="7"/>
          </w:tcPr>
          <w:p w:rsidR="00000000" w:rsidDel="00000000" w:rsidP="00000000" w:rsidRDefault="00000000" w:rsidRPr="00000000" w14:paraId="000001F2">
            <w:pPr>
              <w:jc w:val="both"/>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Building a culturally safe oral health workforce</w:t>
            </w:r>
          </w:p>
        </w:tc>
      </w:tr>
      <w:tr>
        <w:trPr>
          <w:cantSplit w:val="0"/>
          <w:trHeight w:val="495" w:hRule="atLeast"/>
          <w:tblHeader w:val="0"/>
        </w:trPr>
        <w:tc>
          <w:tcPr/>
          <w:p w:rsidR="00000000" w:rsidDel="00000000" w:rsidP="00000000" w:rsidRDefault="00000000" w:rsidRPr="00000000" w14:paraId="000001F9">
            <w:pPr>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4.4</w:t>
            </w:r>
          </w:p>
        </w:tc>
        <w:tc>
          <w:tcPr/>
          <w:p w:rsidR="00000000" w:rsidDel="00000000" w:rsidP="00000000" w:rsidRDefault="00000000" w:rsidRPr="00000000" w14:paraId="000001FA">
            <w:pPr>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Strengthen DCNZ cultural safety standards.</w:t>
            </w:r>
          </w:p>
        </w:tc>
        <w:tc>
          <w:tcPr/>
          <w:p w:rsidR="00000000" w:rsidDel="00000000" w:rsidP="00000000" w:rsidRDefault="00000000" w:rsidRPr="00000000" w14:paraId="000001FB">
            <w:pPr>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DCNC</w:t>
            </w:r>
          </w:p>
          <w:p w:rsidR="00000000" w:rsidDel="00000000" w:rsidP="00000000" w:rsidRDefault="00000000" w:rsidRPr="00000000" w14:paraId="000001FC">
            <w:pPr>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Partners: Te Rōpū Niho Ora, Te Ao Marama</w:t>
            </w:r>
          </w:p>
        </w:tc>
        <w:tc>
          <w:tcPr/>
          <w:p w:rsidR="00000000" w:rsidDel="00000000" w:rsidP="00000000" w:rsidRDefault="00000000" w:rsidRPr="00000000" w14:paraId="000001FD">
            <w:pPr>
              <w:spacing w:after="160" w:line="256"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1</w:t>
            </w:r>
          </w:p>
        </w:tc>
        <w:tc>
          <w:tcPr/>
          <w:p w:rsidR="00000000" w:rsidDel="00000000" w:rsidP="00000000" w:rsidRDefault="00000000" w:rsidRPr="00000000" w14:paraId="000001FE">
            <w:pPr>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None</w:t>
            </w:r>
          </w:p>
        </w:tc>
        <w:tc>
          <w:tcPr/>
          <w:p w:rsidR="00000000" w:rsidDel="00000000" w:rsidP="00000000" w:rsidRDefault="00000000" w:rsidRPr="00000000" w14:paraId="000001FF">
            <w:pPr>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Approved cultural safety standards</w:t>
            </w:r>
          </w:p>
        </w:tc>
        <w:tc>
          <w:tcPr/>
          <w:p w:rsidR="00000000" w:rsidDel="00000000" w:rsidP="00000000" w:rsidRDefault="00000000" w:rsidRPr="00000000" w14:paraId="00000200">
            <w:pPr>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Quick win</w:t>
            </w:r>
          </w:p>
        </w:tc>
      </w:tr>
      <w:tr>
        <w:trPr>
          <w:cantSplit w:val="0"/>
          <w:trHeight w:val="544" w:hRule="atLeast"/>
          <w:tblHeader w:val="0"/>
        </w:trPr>
        <w:tc>
          <w:tcPr/>
          <w:p w:rsidR="00000000" w:rsidDel="00000000" w:rsidP="00000000" w:rsidRDefault="00000000" w:rsidRPr="00000000" w14:paraId="00000201">
            <w:pPr>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4.5</w:t>
            </w:r>
          </w:p>
        </w:tc>
        <w:tc>
          <w:tcPr/>
          <w:p w:rsidR="00000000" w:rsidDel="00000000" w:rsidP="00000000" w:rsidRDefault="00000000" w:rsidRPr="00000000" w14:paraId="00000202">
            <w:pPr>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Investigate and improve the cultural safety curricula and teaching within tertiary oral health education.</w:t>
            </w:r>
          </w:p>
        </w:tc>
        <w:tc>
          <w:tcPr/>
          <w:p w:rsidR="00000000" w:rsidDel="00000000" w:rsidP="00000000" w:rsidRDefault="00000000" w:rsidRPr="00000000" w14:paraId="00000203">
            <w:pPr>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Tertiary providers, DCNZ</w:t>
            </w:r>
          </w:p>
          <w:p w:rsidR="00000000" w:rsidDel="00000000" w:rsidP="00000000" w:rsidRDefault="00000000" w:rsidRPr="00000000" w14:paraId="00000204">
            <w:pPr>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Partners: Te Ao Marama, Te Rōpū Niho Ora</w:t>
            </w:r>
          </w:p>
        </w:tc>
        <w:tc>
          <w:tcPr/>
          <w:p w:rsidR="00000000" w:rsidDel="00000000" w:rsidP="00000000" w:rsidRDefault="00000000" w:rsidRPr="00000000" w14:paraId="00000205">
            <w:pPr>
              <w:spacing w:after="160" w:line="256"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1-2</w:t>
            </w:r>
          </w:p>
        </w:tc>
        <w:tc>
          <w:tcPr/>
          <w:p w:rsidR="00000000" w:rsidDel="00000000" w:rsidP="00000000" w:rsidRDefault="00000000" w:rsidRPr="00000000" w14:paraId="00000206">
            <w:pPr>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None</w:t>
            </w:r>
          </w:p>
        </w:tc>
        <w:tc>
          <w:tcPr/>
          <w:p w:rsidR="00000000" w:rsidDel="00000000" w:rsidP="00000000" w:rsidRDefault="00000000" w:rsidRPr="00000000" w14:paraId="00000207">
            <w:pPr>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Curricula meets cultural standards and expectations</w:t>
            </w:r>
          </w:p>
        </w:tc>
        <w:tc>
          <w:tcPr/>
          <w:p w:rsidR="00000000" w:rsidDel="00000000" w:rsidP="00000000" w:rsidRDefault="00000000" w:rsidRPr="00000000" w14:paraId="00000208">
            <w:pPr>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Future gain</w:t>
            </w:r>
          </w:p>
        </w:tc>
      </w:tr>
      <w:tr>
        <w:trPr>
          <w:cantSplit w:val="0"/>
          <w:trHeight w:val="594" w:hRule="atLeast"/>
          <w:tblHeader w:val="0"/>
        </w:trPr>
        <w:tc>
          <w:tcPr/>
          <w:p w:rsidR="00000000" w:rsidDel="00000000" w:rsidP="00000000" w:rsidRDefault="00000000" w:rsidRPr="00000000" w14:paraId="00000209">
            <w:pPr>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4.6</w:t>
            </w:r>
          </w:p>
        </w:tc>
        <w:tc>
          <w:tcPr/>
          <w:p w:rsidR="00000000" w:rsidDel="00000000" w:rsidP="00000000" w:rsidRDefault="00000000" w:rsidRPr="00000000" w14:paraId="0000020A">
            <w:pPr>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Enable all oral health practitioners to complete cultural safety training and competencies.</w:t>
            </w:r>
          </w:p>
          <w:p w:rsidR="00000000" w:rsidDel="00000000" w:rsidP="00000000" w:rsidRDefault="00000000" w:rsidRPr="00000000" w14:paraId="0000020B">
            <w:pPr>
              <w:jc w:val="both"/>
              <w:rPr>
                <w:rFonts w:ascii="Quattrocento Sans" w:cs="Quattrocento Sans" w:eastAsia="Quattrocento Sans" w:hAnsi="Quattrocento Sans"/>
                <w:sz w:val="20"/>
                <w:szCs w:val="20"/>
              </w:rPr>
            </w:pPr>
            <w:r w:rsidDel="00000000" w:rsidR="00000000" w:rsidRPr="00000000">
              <w:rPr>
                <w:rtl w:val="0"/>
              </w:rPr>
            </w:r>
          </w:p>
        </w:tc>
        <w:tc>
          <w:tcPr/>
          <w:p w:rsidR="00000000" w:rsidDel="00000000" w:rsidP="00000000" w:rsidRDefault="00000000" w:rsidRPr="00000000" w14:paraId="0000020C">
            <w:pPr>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NZDC</w:t>
            </w:r>
          </w:p>
          <w:p w:rsidR="00000000" w:rsidDel="00000000" w:rsidP="00000000" w:rsidRDefault="00000000" w:rsidRPr="00000000" w14:paraId="0000020D">
            <w:pPr>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Partners: NZDA, NZDOHTA, Te Ao Marama, Te Rōpū Niho Ora</w:t>
            </w:r>
          </w:p>
        </w:tc>
        <w:tc>
          <w:tcPr/>
          <w:p w:rsidR="00000000" w:rsidDel="00000000" w:rsidP="00000000" w:rsidRDefault="00000000" w:rsidRPr="00000000" w14:paraId="0000020E">
            <w:pPr>
              <w:spacing w:after="160" w:line="256"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1-2</w:t>
            </w:r>
          </w:p>
        </w:tc>
        <w:tc>
          <w:tcPr/>
          <w:p w:rsidR="00000000" w:rsidDel="00000000" w:rsidP="00000000" w:rsidRDefault="00000000" w:rsidRPr="00000000" w14:paraId="0000020F">
            <w:pPr>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Required </w:t>
            </w:r>
          </w:p>
        </w:tc>
        <w:tc>
          <w:tcPr/>
          <w:p w:rsidR="00000000" w:rsidDel="00000000" w:rsidP="00000000" w:rsidRDefault="00000000" w:rsidRPr="00000000" w14:paraId="00000210">
            <w:pPr>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Training available </w:t>
            </w:r>
          </w:p>
          <w:p w:rsidR="00000000" w:rsidDel="00000000" w:rsidP="00000000" w:rsidRDefault="00000000" w:rsidRPr="00000000" w14:paraId="00000211">
            <w:pPr>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 completed training</w:t>
            </w:r>
          </w:p>
          <w:p w:rsidR="00000000" w:rsidDel="00000000" w:rsidP="00000000" w:rsidRDefault="00000000" w:rsidRPr="00000000" w14:paraId="00000212">
            <w:pPr>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Competencies confirmed</w:t>
            </w:r>
          </w:p>
          <w:p w:rsidR="00000000" w:rsidDel="00000000" w:rsidP="00000000" w:rsidRDefault="00000000" w:rsidRPr="00000000" w14:paraId="00000213">
            <w:pPr>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Audits undertaken</w:t>
            </w:r>
          </w:p>
        </w:tc>
        <w:tc>
          <w:tcPr/>
          <w:p w:rsidR="00000000" w:rsidDel="00000000" w:rsidP="00000000" w:rsidRDefault="00000000" w:rsidRPr="00000000" w14:paraId="00000214">
            <w:pPr>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Future gain</w:t>
            </w:r>
          </w:p>
        </w:tc>
      </w:tr>
      <w:tr>
        <w:trPr>
          <w:cantSplit w:val="0"/>
          <w:trHeight w:val="499" w:hRule="atLeast"/>
          <w:tblHeader w:val="0"/>
        </w:trPr>
        <w:tc>
          <w:tcPr>
            <w:gridSpan w:val="7"/>
          </w:tcPr>
          <w:p w:rsidR="00000000" w:rsidDel="00000000" w:rsidP="00000000" w:rsidRDefault="00000000" w:rsidRPr="00000000" w14:paraId="00000215">
            <w:pPr>
              <w:jc w:val="both"/>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Building a representative Māori oral health workforce</w:t>
            </w:r>
          </w:p>
        </w:tc>
      </w:tr>
      <w:tr>
        <w:trPr>
          <w:cantSplit w:val="0"/>
          <w:trHeight w:val="499" w:hRule="atLeast"/>
          <w:tblHeader w:val="0"/>
        </w:trPr>
        <w:tc>
          <w:tcPr/>
          <w:p w:rsidR="00000000" w:rsidDel="00000000" w:rsidP="00000000" w:rsidRDefault="00000000" w:rsidRPr="00000000" w14:paraId="0000021C">
            <w:pPr>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4.7</w:t>
            </w:r>
          </w:p>
        </w:tc>
        <w:tc>
          <w:tcPr/>
          <w:p w:rsidR="00000000" w:rsidDel="00000000" w:rsidP="00000000" w:rsidRDefault="00000000" w:rsidRPr="00000000" w14:paraId="0000021D">
            <w:pPr>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Invest in increasing the number of Māori dentists with post graduate qualifications.</w:t>
            </w:r>
          </w:p>
        </w:tc>
        <w:tc>
          <w:tcPr/>
          <w:p w:rsidR="00000000" w:rsidDel="00000000" w:rsidP="00000000" w:rsidRDefault="00000000" w:rsidRPr="00000000" w14:paraId="0000021E">
            <w:pPr>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Tertiary providers, HWNZ, DCNZ</w:t>
            </w:r>
          </w:p>
        </w:tc>
        <w:tc>
          <w:tcPr/>
          <w:p w:rsidR="00000000" w:rsidDel="00000000" w:rsidP="00000000" w:rsidRDefault="00000000" w:rsidRPr="00000000" w14:paraId="0000021F">
            <w:pPr>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1-3</w:t>
            </w:r>
          </w:p>
        </w:tc>
        <w:tc>
          <w:tcPr/>
          <w:p w:rsidR="00000000" w:rsidDel="00000000" w:rsidP="00000000" w:rsidRDefault="00000000" w:rsidRPr="00000000" w14:paraId="00000220">
            <w:pPr>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Required </w:t>
            </w:r>
          </w:p>
        </w:tc>
        <w:tc>
          <w:tcPr/>
          <w:p w:rsidR="00000000" w:rsidDel="00000000" w:rsidP="00000000" w:rsidRDefault="00000000" w:rsidRPr="00000000" w14:paraId="00000221">
            <w:pPr>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Increase # Māori dentists with post graduate qualifications </w:t>
            </w:r>
          </w:p>
        </w:tc>
        <w:tc>
          <w:tcPr/>
          <w:p w:rsidR="00000000" w:rsidDel="00000000" w:rsidP="00000000" w:rsidRDefault="00000000" w:rsidRPr="00000000" w14:paraId="00000222">
            <w:pPr>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Future gain</w:t>
            </w:r>
          </w:p>
        </w:tc>
      </w:tr>
      <w:tr>
        <w:trPr>
          <w:cantSplit w:val="0"/>
          <w:trHeight w:val="559" w:hRule="atLeast"/>
          <w:tblHeader w:val="0"/>
        </w:trPr>
        <w:tc>
          <w:tcPr/>
          <w:p w:rsidR="00000000" w:rsidDel="00000000" w:rsidP="00000000" w:rsidRDefault="00000000" w:rsidRPr="00000000" w14:paraId="00000223">
            <w:pPr>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4.8</w:t>
            </w:r>
          </w:p>
        </w:tc>
        <w:tc>
          <w:tcPr/>
          <w:p w:rsidR="00000000" w:rsidDel="00000000" w:rsidP="00000000" w:rsidRDefault="00000000" w:rsidRPr="00000000" w14:paraId="00000224">
            <w:pPr>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Fund dental assistant training within Providers with pipelines to dental therapy or BDS targeting Māori.</w:t>
            </w:r>
          </w:p>
        </w:tc>
        <w:tc>
          <w:tcPr/>
          <w:p w:rsidR="00000000" w:rsidDel="00000000" w:rsidP="00000000" w:rsidRDefault="00000000" w:rsidRPr="00000000" w14:paraId="00000225">
            <w:pPr>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HWNZ, MOH, </w:t>
            </w:r>
          </w:p>
          <w:p w:rsidR="00000000" w:rsidDel="00000000" w:rsidP="00000000" w:rsidRDefault="00000000" w:rsidRPr="00000000" w14:paraId="00000226">
            <w:pPr>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DHB, Te Ao Marama</w:t>
            </w:r>
          </w:p>
        </w:tc>
        <w:tc>
          <w:tcPr/>
          <w:p w:rsidR="00000000" w:rsidDel="00000000" w:rsidP="00000000" w:rsidRDefault="00000000" w:rsidRPr="00000000" w14:paraId="00000227">
            <w:pPr>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1–3</w:t>
            </w:r>
          </w:p>
        </w:tc>
        <w:tc>
          <w:tcPr/>
          <w:p w:rsidR="00000000" w:rsidDel="00000000" w:rsidP="00000000" w:rsidRDefault="00000000" w:rsidRPr="00000000" w14:paraId="00000228">
            <w:pPr>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Existing</w:t>
            </w:r>
          </w:p>
        </w:tc>
        <w:tc>
          <w:tcPr/>
          <w:p w:rsidR="00000000" w:rsidDel="00000000" w:rsidP="00000000" w:rsidRDefault="00000000" w:rsidRPr="00000000" w14:paraId="00000229">
            <w:pPr>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Programme implemented</w:t>
            </w:r>
          </w:p>
        </w:tc>
        <w:tc>
          <w:tcPr/>
          <w:p w:rsidR="00000000" w:rsidDel="00000000" w:rsidP="00000000" w:rsidRDefault="00000000" w:rsidRPr="00000000" w14:paraId="0000022A">
            <w:pPr>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Future gain</w:t>
            </w:r>
          </w:p>
        </w:tc>
      </w:tr>
      <w:tr>
        <w:trPr>
          <w:cantSplit w:val="0"/>
          <w:trHeight w:val="274" w:hRule="atLeast"/>
          <w:tblHeader w:val="0"/>
        </w:trPr>
        <w:tc>
          <w:tcPr/>
          <w:p w:rsidR="00000000" w:rsidDel="00000000" w:rsidP="00000000" w:rsidRDefault="00000000" w:rsidRPr="00000000" w14:paraId="0000022B">
            <w:pPr>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4.9</w:t>
            </w:r>
          </w:p>
        </w:tc>
        <w:tc>
          <w:tcPr/>
          <w:p w:rsidR="00000000" w:rsidDel="00000000" w:rsidP="00000000" w:rsidRDefault="00000000" w:rsidRPr="00000000" w14:paraId="0000022C">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Increase the number of tauira Māori from low decile schools and high deprivation areas linked to DHB workforce projections based on population forecasts at a minimum of 30%</w:t>
            </w:r>
            <w:r w:rsidDel="00000000" w:rsidR="00000000" w:rsidRPr="00000000">
              <w:rPr>
                <w:rFonts w:ascii="Quattrocento Sans" w:cs="Quattrocento Sans" w:eastAsia="Quattrocento Sans" w:hAnsi="Quattrocento Sans"/>
                <w:sz w:val="20"/>
                <w:szCs w:val="20"/>
                <w:vertAlign w:val="superscript"/>
              </w:rPr>
              <w:footnoteReference w:customMarkFollows="0" w:id="0"/>
            </w:r>
            <w:r w:rsidDel="00000000" w:rsidR="00000000" w:rsidRPr="00000000">
              <w:rPr>
                <w:rFonts w:ascii="Quattrocento Sans" w:cs="Quattrocento Sans" w:eastAsia="Quattrocento Sans" w:hAnsi="Quattrocento Sans"/>
                <w:sz w:val="20"/>
                <w:szCs w:val="20"/>
                <w:rtl w:val="0"/>
              </w:rPr>
              <w:t xml:space="preserve">.  </w:t>
            </w:r>
          </w:p>
        </w:tc>
        <w:tc>
          <w:tcPr/>
          <w:p w:rsidR="00000000" w:rsidDel="00000000" w:rsidP="00000000" w:rsidRDefault="00000000" w:rsidRPr="00000000" w14:paraId="0000022D">
            <w:pPr>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DHBs, Tertiary providers </w:t>
            </w:r>
          </w:p>
        </w:tc>
        <w:tc>
          <w:tcPr/>
          <w:p w:rsidR="00000000" w:rsidDel="00000000" w:rsidP="00000000" w:rsidRDefault="00000000" w:rsidRPr="00000000" w14:paraId="0000022E">
            <w:pPr>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2-3</w:t>
            </w:r>
          </w:p>
        </w:tc>
        <w:tc>
          <w:tcPr/>
          <w:p w:rsidR="00000000" w:rsidDel="00000000" w:rsidP="00000000" w:rsidRDefault="00000000" w:rsidRPr="00000000" w14:paraId="0000022F">
            <w:pPr>
              <w:spacing w:after="160" w:line="256"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Required</w:t>
            </w:r>
          </w:p>
        </w:tc>
        <w:tc>
          <w:tcPr/>
          <w:p w:rsidR="00000000" w:rsidDel="00000000" w:rsidP="00000000" w:rsidRDefault="00000000" w:rsidRPr="00000000" w14:paraId="00000230">
            <w:pPr>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80% of tauira Māori in training or employment leading to tertiary training and higher learning and skills by 2028</w:t>
            </w:r>
          </w:p>
        </w:tc>
        <w:tc>
          <w:tcPr/>
          <w:p w:rsidR="00000000" w:rsidDel="00000000" w:rsidP="00000000" w:rsidRDefault="00000000" w:rsidRPr="00000000" w14:paraId="00000231">
            <w:pPr>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Future gain</w:t>
            </w:r>
          </w:p>
        </w:tc>
      </w:tr>
      <w:tr>
        <w:trPr>
          <w:cantSplit w:val="0"/>
          <w:trHeight w:val="274" w:hRule="atLeast"/>
          <w:tblHeader w:val="0"/>
        </w:trPr>
        <w:tc>
          <w:tcPr/>
          <w:p w:rsidR="00000000" w:rsidDel="00000000" w:rsidP="00000000" w:rsidRDefault="00000000" w:rsidRPr="00000000" w14:paraId="00000232">
            <w:pPr>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4.10</w:t>
            </w:r>
          </w:p>
        </w:tc>
        <w:tc>
          <w:tcPr/>
          <w:p w:rsidR="00000000" w:rsidDel="00000000" w:rsidP="00000000" w:rsidRDefault="00000000" w:rsidRPr="00000000" w14:paraId="00000233">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Establish annual targets for all universities for Māori entering dental or dental therapy programmes to address the equity need.</w:t>
            </w:r>
          </w:p>
        </w:tc>
        <w:tc>
          <w:tcPr/>
          <w:p w:rsidR="00000000" w:rsidDel="00000000" w:rsidP="00000000" w:rsidRDefault="00000000" w:rsidRPr="00000000" w14:paraId="00000234">
            <w:pPr>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Tertiary providers</w:t>
            </w:r>
          </w:p>
          <w:p w:rsidR="00000000" w:rsidDel="00000000" w:rsidP="00000000" w:rsidRDefault="00000000" w:rsidRPr="00000000" w14:paraId="00000235">
            <w:pPr>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Partners: Te Rōpū Niho Ora, Te Ao Marama</w:t>
            </w:r>
          </w:p>
        </w:tc>
        <w:tc>
          <w:tcPr/>
          <w:p w:rsidR="00000000" w:rsidDel="00000000" w:rsidP="00000000" w:rsidRDefault="00000000" w:rsidRPr="00000000" w14:paraId="00000236">
            <w:pPr>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1</w:t>
            </w:r>
          </w:p>
        </w:tc>
        <w:tc>
          <w:tcPr/>
          <w:p w:rsidR="00000000" w:rsidDel="00000000" w:rsidP="00000000" w:rsidRDefault="00000000" w:rsidRPr="00000000" w14:paraId="00000237">
            <w:pPr>
              <w:spacing w:after="160" w:line="256"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None</w:t>
            </w:r>
          </w:p>
        </w:tc>
        <w:tc>
          <w:tcPr/>
          <w:p w:rsidR="00000000" w:rsidDel="00000000" w:rsidP="00000000" w:rsidRDefault="00000000" w:rsidRPr="00000000" w14:paraId="00000238">
            <w:pPr>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Targets established</w:t>
            </w:r>
          </w:p>
          <w:p w:rsidR="00000000" w:rsidDel="00000000" w:rsidP="00000000" w:rsidRDefault="00000000" w:rsidRPr="00000000" w14:paraId="00000239">
            <w:pPr>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 and % of Māori enrolled reported annually</w:t>
            </w:r>
          </w:p>
          <w:p w:rsidR="00000000" w:rsidDel="00000000" w:rsidP="00000000" w:rsidRDefault="00000000" w:rsidRPr="00000000" w14:paraId="0000023A">
            <w:pPr>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Increasing # of qualified Māori dentists </w:t>
            </w:r>
          </w:p>
        </w:tc>
        <w:tc>
          <w:tcPr/>
          <w:p w:rsidR="00000000" w:rsidDel="00000000" w:rsidP="00000000" w:rsidRDefault="00000000" w:rsidRPr="00000000" w14:paraId="0000023B">
            <w:pPr>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Quick win</w:t>
            </w:r>
          </w:p>
        </w:tc>
      </w:tr>
      <w:tr>
        <w:trPr>
          <w:cantSplit w:val="0"/>
          <w:trHeight w:val="274" w:hRule="atLeast"/>
          <w:tblHeader w:val="0"/>
        </w:trPr>
        <w:tc>
          <w:tcPr/>
          <w:p w:rsidR="00000000" w:rsidDel="00000000" w:rsidP="00000000" w:rsidRDefault="00000000" w:rsidRPr="00000000" w14:paraId="0000023C">
            <w:pPr>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4.11</w:t>
            </w:r>
          </w:p>
        </w:tc>
        <w:tc>
          <w:tcPr/>
          <w:p w:rsidR="00000000" w:rsidDel="00000000" w:rsidP="00000000" w:rsidRDefault="00000000" w:rsidRPr="00000000" w14:paraId="0000023D">
            <w:pPr>
              <w:spacing w:after="60" w:before="60"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Utilise other workforce areas- i.e. Well Child Tamariki Ora, maternity, family start, whānau ora, and primary care sectors - to provide oral health education, prevention, and screen for obvious dental disease.</w:t>
            </w:r>
          </w:p>
        </w:tc>
        <w:tc>
          <w:tcPr/>
          <w:p w:rsidR="00000000" w:rsidDel="00000000" w:rsidP="00000000" w:rsidRDefault="00000000" w:rsidRPr="00000000" w14:paraId="0000023E">
            <w:pPr>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MOH, WCTO, MSD, DHB, NZCGP, Te Ao Marama, Te Rōpū Niho Ora, NZCOM</w:t>
            </w:r>
          </w:p>
        </w:tc>
        <w:tc>
          <w:tcPr/>
          <w:p w:rsidR="00000000" w:rsidDel="00000000" w:rsidP="00000000" w:rsidRDefault="00000000" w:rsidRPr="00000000" w14:paraId="0000023F">
            <w:pPr>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2- 3</w:t>
            </w:r>
          </w:p>
        </w:tc>
        <w:tc>
          <w:tcPr/>
          <w:p w:rsidR="00000000" w:rsidDel="00000000" w:rsidP="00000000" w:rsidRDefault="00000000" w:rsidRPr="00000000" w14:paraId="00000240">
            <w:pPr>
              <w:spacing w:after="160" w:line="256" w:lineRule="auto"/>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Required</w:t>
            </w:r>
          </w:p>
        </w:tc>
        <w:tc>
          <w:tcPr/>
          <w:p w:rsidR="00000000" w:rsidDel="00000000" w:rsidP="00000000" w:rsidRDefault="00000000" w:rsidRPr="00000000" w14:paraId="00000241">
            <w:pPr>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Health stakeholders are involved</w:t>
            </w:r>
          </w:p>
        </w:tc>
        <w:tc>
          <w:tcPr/>
          <w:p w:rsidR="00000000" w:rsidDel="00000000" w:rsidP="00000000" w:rsidRDefault="00000000" w:rsidRPr="00000000" w14:paraId="00000242">
            <w:pPr>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Future gain</w:t>
            </w:r>
          </w:p>
        </w:tc>
      </w:tr>
    </w:tbl>
    <w:p w:rsidR="00000000" w:rsidDel="00000000" w:rsidP="00000000" w:rsidRDefault="00000000" w:rsidRPr="00000000" w14:paraId="00000243">
      <w:pPr>
        <w:jc w:val="both"/>
        <w:rPr>
          <w:rFonts w:ascii="Quattrocento Sans" w:cs="Quattrocento Sans" w:eastAsia="Quattrocento Sans" w:hAnsi="Quattrocento Sans"/>
          <w:b w:val="1"/>
          <w:sz w:val="36"/>
          <w:szCs w:val="36"/>
        </w:rPr>
        <w:sectPr>
          <w:type w:val="nextPage"/>
          <w:pgSz w:h="11900" w:w="16840" w:orient="landscape"/>
          <w:pgMar w:bottom="1440" w:top="1440" w:left="1440" w:right="1440" w:header="708" w:footer="708"/>
        </w:sectPr>
      </w:pPr>
      <w:bookmarkStart w:colFirst="0" w:colLast="0" w:name="_heading=h.b6tfd4go7yj7" w:id="11"/>
      <w:bookmarkEnd w:id="11"/>
      <w:r w:rsidDel="00000000" w:rsidR="00000000" w:rsidRPr="00000000">
        <w:rPr>
          <w:rtl w:val="0"/>
        </w:rPr>
      </w:r>
    </w:p>
    <w:p w:rsidR="00000000" w:rsidDel="00000000" w:rsidP="00000000" w:rsidRDefault="00000000" w:rsidRPr="00000000" w14:paraId="00000244">
      <w:pPr>
        <w:jc w:val="both"/>
        <w:rPr>
          <w:rFonts w:ascii="Quattrocento Sans" w:cs="Quattrocento Sans" w:eastAsia="Quattrocento Sans" w:hAnsi="Quattrocento Sans"/>
          <w:b w:val="1"/>
          <w:color w:val="1f3864"/>
          <w:sz w:val="40"/>
          <w:szCs w:val="40"/>
        </w:rPr>
      </w:pPr>
      <w:bookmarkStart w:colFirst="0" w:colLast="0" w:name="_heading=h.1c9oo4iq2ap" w:id="12"/>
      <w:bookmarkEnd w:id="12"/>
      <w:r w:rsidDel="00000000" w:rsidR="00000000" w:rsidRPr="00000000">
        <w:rPr>
          <w:rFonts w:ascii="Quattrocento Sans" w:cs="Quattrocento Sans" w:eastAsia="Quattrocento Sans" w:hAnsi="Quattrocento Sans"/>
          <w:b w:val="1"/>
          <w:color w:val="1f3864"/>
          <w:sz w:val="40"/>
          <w:szCs w:val="40"/>
          <w:rtl w:val="0"/>
        </w:rPr>
        <w:t xml:space="preserve">References</w:t>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6">
      <w:pPr>
        <w:spacing w:line="271" w:lineRule="auto"/>
        <w:ind w:right="798"/>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Committee on the Rights of the Child. (2013a). </w:t>
      </w:r>
      <w:r w:rsidDel="00000000" w:rsidR="00000000" w:rsidRPr="00000000">
        <w:rPr>
          <w:rFonts w:ascii="Quattrocento Sans" w:cs="Quattrocento Sans" w:eastAsia="Quattrocento Sans" w:hAnsi="Quattrocento Sans"/>
          <w:i w:val="1"/>
          <w:sz w:val="22"/>
          <w:szCs w:val="22"/>
          <w:rtl w:val="0"/>
        </w:rPr>
        <w:t xml:space="preserve">General Comment No. 15 (2013) on the right of the child to the highest attainable standard of health (art. 24) </w:t>
      </w:r>
      <w:r w:rsidDel="00000000" w:rsidR="00000000" w:rsidRPr="00000000">
        <w:rPr>
          <w:rFonts w:ascii="Quattrocento Sans" w:cs="Quattrocento Sans" w:eastAsia="Quattrocento Sans" w:hAnsi="Quattrocento Sans"/>
          <w:sz w:val="22"/>
          <w:szCs w:val="22"/>
          <w:rtl w:val="0"/>
        </w:rPr>
        <w:t xml:space="preserve">(General Comment No. CRC/C/GC/15). Geneva: United Nations. Retrieved from </w:t>
      </w:r>
      <w:hyperlink r:id="rId11">
        <w:r w:rsidDel="00000000" w:rsidR="00000000" w:rsidRPr="00000000">
          <w:rPr>
            <w:rFonts w:ascii="Quattrocento Sans" w:cs="Quattrocento Sans" w:eastAsia="Quattrocento Sans" w:hAnsi="Quattrocento Sans"/>
            <w:color w:val="0563c1"/>
            <w:sz w:val="22"/>
            <w:szCs w:val="22"/>
            <w:u w:val="single"/>
            <w:rtl w:val="0"/>
          </w:rPr>
          <w:t xml:space="preserve">http://tbinternet.ohchr.org/_layouts/treatybodyexternal/Download.aspx?symbolno=CRC%2fC%2fGC%2f15&amp;Lang=en</w:t>
        </w:r>
      </w:hyperlink>
      <w:r w:rsidDel="00000000" w:rsidR="00000000" w:rsidRPr="00000000">
        <w:rPr>
          <w:rtl w:val="0"/>
        </w:rPr>
      </w:r>
    </w:p>
    <w:p w:rsidR="00000000" w:rsidDel="00000000" w:rsidP="00000000" w:rsidRDefault="00000000" w:rsidRPr="00000000" w14:paraId="00000247">
      <w:pPr>
        <w:spacing w:line="271" w:lineRule="auto"/>
        <w:ind w:right="798"/>
        <w:jc w:val="both"/>
        <w:rPr>
          <w:rFonts w:ascii="Quattrocento Sans" w:cs="Quattrocento Sans" w:eastAsia="Quattrocento Sans" w:hAnsi="Quattrocento Sans"/>
          <w:sz w:val="22"/>
          <w:szCs w:val="22"/>
        </w:rPr>
      </w:pPr>
      <w:r w:rsidDel="00000000" w:rsidR="00000000" w:rsidRPr="00000000">
        <w:rPr>
          <w:rtl w:val="0"/>
        </w:rPr>
      </w:r>
    </w:p>
    <w:p w:rsidR="00000000" w:rsidDel="00000000" w:rsidP="00000000" w:rsidRDefault="00000000" w:rsidRPr="00000000" w14:paraId="00000248">
      <w:pPr>
        <w:spacing w:line="271" w:lineRule="auto"/>
        <w:ind w:right="798"/>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Māori Oral Health National Coordination Service.  2013. Ngā Ara Tika: Integrated Practice Guidelines in the general and primary care settings. Updated 2016.  Māori Oral Health National Coordination Service.</w:t>
      </w:r>
    </w:p>
    <w:p w:rsidR="00000000" w:rsidDel="00000000" w:rsidP="00000000" w:rsidRDefault="00000000" w:rsidRPr="00000000" w14:paraId="00000249">
      <w:pPr>
        <w:spacing w:line="271" w:lineRule="auto"/>
        <w:ind w:right="798"/>
        <w:jc w:val="both"/>
        <w:rPr>
          <w:rFonts w:ascii="Quattrocento Sans" w:cs="Quattrocento Sans" w:eastAsia="Quattrocento Sans" w:hAnsi="Quattrocento Sans"/>
          <w:sz w:val="22"/>
          <w:szCs w:val="22"/>
        </w:rPr>
      </w:pPr>
      <w:r w:rsidDel="00000000" w:rsidR="00000000" w:rsidRPr="00000000">
        <w:rPr>
          <w:rtl w:val="0"/>
        </w:rPr>
      </w:r>
    </w:p>
    <w:p w:rsidR="00000000" w:rsidDel="00000000" w:rsidP="00000000" w:rsidRDefault="00000000" w:rsidRPr="00000000" w14:paraId="0000024A">
      <w:pPr>
        <w:spacing w:line="271" w:lineRule="auto"/>
        <w:ind w:right="798"/>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Ministry of Health. 2014. The Guide to He Korowai Oranga: Māori Health Strategy. Wellington. Ministry of Health</w:t>
      </w:r>
    </w:p>
    <w:p w:rsidR="00000000" w:rsidDel="00000000" w:rsidP="00000000" w:rsidRDefault="00000000" w:rsidRPr="00000000" w14:paraId="0000024B">
      <w:pPr>
        <w:spacing w:line="271" w:lineRule="auto"/>
        <w:ind w:right="798"/>
        <w:jc w:val="both"/>
        <w:rPr>
          <w:rFonts w:ascii="Quattrocento Sans" w:cs="Quattrocento Sans" w:eastAsia="Quattrocento Sans" w:hAnsi="Quattrocento Sans"/>
          <w:sz w:val="22"/>
          <w:szCs w:val="22"/>
        </w:rPr>
      </w:pPr>
      <w:r w:rsidDel="00000000" w:rsidR="00000000" w:rsidRPr="00000000">
        <w:rPr>
          <w:rtl w:val="0"/>
        </w:rPr>
      </w:r>
    </w:p>
    <w:p w:rsidR="00000000" w:rsidDel="00000000" w:rsidP="00000000" w:rsidRDefault="00000000" w:rsidRPr="00000000" w14:paraId="0000024C">
      <w:pPr>
        <w:spacing w:line="271" w:lineRule="auto"/>
        <w:ind w:right="798"/>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Ministry of Health. 2006. Good Oral Health for All, for Life: The Strategic Vision for Oral Health in New Zealand. Wellington: Ministry of Health. </w:t>
      </w:r>
    </w:p>
    <w:p w:rsidR="00000000" w:rsidDel="00000000" w:rsidP="00000000" w:rsidRDefault="00000000" w:rsidRPr="00000000" w14:paraId="0000024D">
      <w:pPr>
        <w:spacing w:line="271" w:lineRule="auto"/>
        <w:ind w:right="798"/>
        <w:jc w:val="both"/>
        <w:rPr>
          <w:rFonts w:ascii="Quattrocento Sans" w:cs="Quattrocento Sans" w:eastAsia="Quattrocento Sans" w:hAnsi="Quattrocento Sans"/>
          <w:sz w:val="22"/>
          <w:szCs w:val="22"/>
        </w:rPr>
      </w:pPr>
      <w:r w:rsidDel="00000000" w:rsidR="00000000" w:rsidRPr="00000000">
        <w:rPr>
          <w:rtl w:val="0"/>
        </w:rPr>
      </w:r>
    </w:p>
    <w:p w:rsidR="00000000" w:rsidDel="00000000" w:rsidP="00000000" w:rsidRDefault="00000000" w:rsidRPr="00000000" w14:paraId="0000024E">
      <w:pPr>
        <w:spacing w:line="271" w:lineRule="auto"/>
        <w:ind w:right="798"/>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Ministry of Health. 2010. Our Oral Health: Key findings of the 2009 New Zealand Oral Health Survey. Wellington: Ministry of Health.</w:t>
      </w:r>
    </w:p>
    <w:p w:rsidR="00000000" w:rsidDel="00000000" w:rsidP="00000000" w:rsidRDefault="00000000" w:rsidRPr="00000000" w14:paraId="0000024F">
      <w:pPr>
        <w:spacing w:line="271" w:lineRule="auto"/>
        <w:ind w:right="798"/>
        <w:jc w:val="both"/>
        <w:rPr>
          <w:rFonts w:ascii="Quattrocento Sans" w:cs="Quattrocento Sans" w:eastAsia="Quattrocento Sans" w:hAnsi="Quattrocento Sans"/>
          <w:sz w:val="22"/>
          <w:szCs w:val="22"/>
        </w:rPr>
      </w:pPr>
      <w:r w:rsidDel="00000000" w:rsidR="00000000" w:rsidRPr="00000000">
        <w:rPr>
          <w:rtl w:val="0"/>
        </w:rPr>
      </w:r>
    </w:p>
    <w:p w:rsidR="00000000" w:rsidDel="00000000" w:rsidP="00000000" w:rsidRDefault="00000000" w:rsidRPr="00000000" w14:paraId="00000250">
      <w:pPr>
        <w:spacing w:line="271" w:lineRule="auto"/>
        <w:ind w:right="798"/>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Ministry of Health. 2019.  Age 5 and Year 8 oral health data from the Community Oral Health Service.  Retrieved from </w:t>
      </w:r>
      <w:hyperlink r:id="rId12">
        <w:r w:rsidDel="00000000" w:rsidR="00000000" w:rsidRPr="00000000">
          <w:rPr>
            <w:rFonts w:ascii="Quattrocento Sans" w:cs="Quattrocento Sans" w:eastAsia="Quattrocento Sans" w:hAnsi="Quattrocento Sans"/>
            <w:color w:val="0563c1"/>
            <w:sz w:val="22"/>
            <w:szCs w:val="22"/>
            <w:u w:val="single"/>
            <w:rtl w:val="0"/>
          </w:rPr>
          <w:t xml:space="preserve">https://www.health.govt.nz/nz-health-statistics/health-statistics-and-data-sets/oral-health-data-and-stats/age-5-and-year-8-oral-health-data-community-oral-health-service</w:t>
        </w:r>
      </w:hyperlink>
      <w:r w:rsidDel="00000000" w:rsidR="00000000" w:rsidRPr="00000000">
        <w:rPr>
          <w:rtl w:val="0"/>
        </w:rPr>
      </w:r>
    </w:p>
    <w:p w:rsidR="00000000" w:rsidDel="00000000" w:rsidP="00000000" w:rsidRDefault="00000000" w:rsidRPr="00000000" w14:paraId="00000251">
      <w:pPr>
        <w:spacing w:line="271" w:lineRule="auto"/>
        <w:ind w:right="798"/>
        <w:jc w:val="both"/>
        <w:rPr>
          <w:rFonts w:ascii="Quattrocento Sans" w:cs="Quattrocento Sans" w:eastAsia="Quattrocento Sans" w:hAnsi="Quattrocento Sans"/>
          <w:sz w:val="22"/>
          <w:szCs w:val="22"/>
        </w:rPr>
      </w:pPr>
      <w:r w:rsidDel="00000000" w:rsidR="00000000" w:rsidRPr="00000000">
        <w:rPr>
          <w:rtl w:val="0"/>
        </w:rPr>
      </w:r>
    </w:p>
    <w:p w:rsidR="00000000" w:rsidDel="00000000" w:rsidP="00000000" w:rsidRDefault="00000000" w:rsidRPr="00000000" w14:paraId="00000252">
      <w:pPr>
        <w:spacing w:line="271" w:lineRule="auto"/>
        <w:ind w:right="798"/>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New Zealand Health &amp; Disability System Review. 2019. Interim report. Retrieved from </w:t>
      </w:r>
      <w:hyperlink r:id="rId13">
        <w:r w:rsidDel="00000000" w:rsidR="00000000" w:rsidRPr="00000000">
          <w:rPr>
            <w:rFonts w:ascii="Quattrocento Sans" w:cs="Quattrocento Sans" w:eastAsia="Quattrocento Sans" w:hAnsi="Quattrocento Sans"/>
            <w:color w:val="0563c1"/>
            <w:sz w:val="22"/>
            <w:szCs w:val="22"/>
            <w:u w:val="single"/>
            <w:rtl w:val="0"/>
          </w:rPr>
          <w:t xml:space="preserve">https://systemreview.health.govt.nz/</w:t>
        </w:r>
      </w:hyperlink>
      <w:r w:rsidDel="00000000" w:rsidR="00000000" w:rsidRPr="00000000">
        <w:rPr>
          <w:rtl w:val="0"/>
        </w:rPr>
      </w:r>
    </w:p>
    <w:p w:rsidR="00000000" w:rsidDel="00000000" w:rsidP="00000000" w:rsidRDefault="00000000" w:rsidRPr="00000000" w14:paraId="00000253">
      <w:pPr>
        <w:spacing w:line="271" w:lineRule="auto"/>
        <w:ind w:right="798"/>
        <w:jc w:val="both"/>
        <w:rPr>
          <w:rFonts w:ascii="Quattrocento Sans" w:cs="Quattrocento Sans" w:eastAsia="Quattrocento Sans" w:hAnsi="Quattrocento Sans"/>
          <w:sz w:val="22"/>
          <w:szCs w:val="22"/>
        </w:rPr>
      </w:pPr>
      <w:r w:rsidDel="00000000" w:rsidR="00000000" w:rsidRPr="00000000">
        <w:rPr>
          <w:rtl w:val="0"/>
        </w:rPr>
      </w:r>
    </w:p>
    <w:p w:rsidR="00000000" w:rsidDel="00000000" w:rsidP="00000000" w:rsidRDefault="00000000" w:rsidRPr="00000000" w14:paraId="00000254">
      <w:pPr>
        <w:spacing w:line="271" w:lineRule="auto"/>
        <w:ind w:right="798"/>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OHCHR. (1989). Convention on the Rights of the Child. General Assembly resolution 44/25. Retrieved from http://www.ohchr.org/en/professionalinterest/pages/crc.aspx</w:t>
      </w:r>
    </w:p>
    <w:p w:rsidR="00000000" w:rsidDel="00000000" w:rsidP="00000000" w:rsidRDefault="00000000" w:rsidRPr="00000000" w14:paraId="00000255">
      <w:pPr>
        <w:spacing w:line="271" w:lineRule="auto"/>
        <w:ind w:right="798"/>
        <w:jc w:val="both"/>
        <w:rPr>
          <w:rFonts w:ascii="Quattrocento Sans" w:cs="Quattrocento Sans" w:eastAsia="Quattrocento Sans" w:hAnsi="Quattrocento Sans"/>
          <w:sz w:val="22"/>
          <w:szCs w:val="22"/>
        </w:rPr>
      </w:pPr>
      <w:r w:rsidDel="00000000" w:rsidR="00000000" w:rsidRPr="00000000">
        <w:rPr>
          <w:rtl w:val="0"/>
        </w:rPr>
      </w:r>
    </w:p>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1" w:lineRule="auto"/>
        <w:ind w:left="0" w:right="798"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Teng, AM, Jones, AC, Mizdrak, A, Signal, L, Genç, M, Wilson, N. Impact of sugar‐sweetened beverage taxes on purchases and dietary intake: Systematic review and meta‐analysis. Obesity Reviews. 2019; 20: 1187– 1204. </w:t>
      </w:r>
      <w:hyperlink r:id="rId14">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https://doi.org/10.1111/obr.12868</w:t>
        </w:r>
      </w:hyperlink>
      <w:r w:rsidDel="00000000" w:rsidR="00000000" w:rsidRPr="00000000">
        <w:rPr>
          <w:rtl w:val="0"/>
        </w:rPr>
      </w:r>
    </w:p>
    <w:p w:rsidR="00000000" w:rsidDel="00000000" w:rsidP="00000000" w:rsidRDefault="00000000" w:rsidRPr="00000000" w14:paraId="00000257">
      <w:pPr>
        <w:ind w:right="798"/>
        <w:rPr>
          <w:rFonts w:ascii="Quattrocento Sans" w:cs="Quattrocento Sans" w:eastAsia="Quattrocento Sans" w:hAnsi="Quattrocento Sans"/>
          <w:sz w:val="22"/>
          <w:szCs w:val="22"/>
        </w:rPr>
      </w:pPr>
      <w:r w:rsidDel="00000000" w:rsidR="00000000" w:rsidRPr="00000000">
        <w:rPr>
          <w:rtl w:val="0"/>
        </w:rPr>
      </w:r>
    </w:p>
    <w:p w:rsidR="00000000" w:rsidDel="00000000" w:rsidP="00000000" w:rsidRDefault="00000000" w:rsidRPr="00000000" w14:paraId="00000258">
      <w:pPr>
        <w:ind w:right="798"/>
        <w:rPr>
          <w:rFonts w:ascii="Quattrocento Sans" w:cs="Quattrocento Sans" w:eastAsia="Quattrocento Sans" w:hAnsi="Quattrocento Sans"/>
          <w:sz w:val="22"/>
          <w:szCs w:val="22"/>
        </w:rPr>
        <w:sectPr>
          <w:type w:val="nextPage"/>
          <w:pgSz w:h="16840" w:w="11900" w:orient="portrait"/>
          <w:pgMar w:bottom="1440" w:top="1440" w:left="1440" w:right="23" w:header="709" w:footer="709"/>
        </w:sectPr>
      </w:pPr>
      <w:r w:rsidDel="00000000" w:rsidR="00000000" w:rsidRPr="00000000">
        <w:rPr>
          <w:rFonts w:ascii="Quattrocento Sans" w:cs="Quattrocento Sans" w:eastAsia="Quattrocento Sans" w:hAnsi="Quattrocento Sans"/>
          <w:sz w:val="22"/>
          <w:szCs w:val="22"/>
          <w:rtl w:val="0"/>
        </w:rPr>
        <w:t xml:space="preserve">Waitangi Tribunal. 2019. Report on Stage One of the Health Services and Outcomes.  Retrieved from: </w:t>
      </w:r>
      <w:hyperlink r:id="rId15">
        <w:r w:rsidDel="00000000" w:rsidR="00000000" w:rsidRPr="00000000">
          <w:rPr>
            <w:rFonts w:ascii="Quattrocento Sans" w:cs="Quattrocento Sans" w:eastAsia="Quattrocento Sans" w:hAnsi="Quattrocento Sans"/>
            <w:color w:val="0563c1"/>
            <w:sz w:val="22"/>
            <w:szCs w:val="22"/>
            <w:u w:val="single"/>
            <w:rtl w:val="0"/>
          </w:rPr>
          <w:t xml:space="preserve">https://waitangitribunal.govt.nz/news/report-on-stage-one-of-health-services-and-outcomes-released/</w:t>
        </w:r>
      </w:hyperlink>
      <w:r w:rsidDel="00000000" w:rsidR="00000000" w:rsidRPr="00000000">
        <w:rPr>
          <w:rtl w:val="0"/>
        </w:rPr>
      </w:r>
    </w:p>
    <w:p w:rsidR="00000000" w:rsidDel="00000000" w:rsidP="00000000" w:rsidRDefault="00000000" w:rsidRPr="00000000" w14:paraId="00000259">
      <w:pP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5A">
      <w:pPr>
        <w:rPr>
          <w:rFonts w:ascii="Quattrocento Sans" w:cs="Quattrocento Sans" w:eastAsia="Quattrocento Sans" w:hAnsi="Quattrocento Sans"/>
        </w:rPr>
      </w:pPr>
      <w:r w:rsidDel="00000000" w:rsidR="00000000" w:rsidRPr="00000000">
        <w:rPr>
          <w:rtl w:val="0"/>
        </w:rPr>
      </w:r>
    </w:p>
    <w:sectPr>
      <w:type w:val="nextPage"/>
      <w:pgSz w:h="11900" w:w="16840" w:orient="landscape"/>
      <w:pgMar w:bottom="1440" w:top="22"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Cambria Math">
    <w:embedRegular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30% based in the projected age cohort available for traning are Māori</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bullet"/>
      <w:lvlText w:val="-"/>
      <w:lvlJc w:val="left"/>
      <w:pPr>
        <w:ind w:left="720" w:hanging="360"/>
      </w:pPr>
      <w:rPr>
        <w:rFonts w:ascii="Georgia" w:cs="Georgia" w:eastAsia="Georgia" w:hAnsi="Georgia"/>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4C2C40"/>
    <w:pPr>
      <w:ind w:left="720"/>
      <w:contextualSpacing w:val="1"/>
    </w:pPr>
  </w:style>
  <w:style w:type="paragraph" w:styleId="FootnoteText">
    <w:name w:val="footnote text"/>
    <w:basedOn w:val="Normal"/>
    <w:link w:val="FootnoteTextChar"/>
    <w:uiPriority w:val="99"/>
    <w:unhideWhenUsed w:val="1"/>
    <w:rsid w:val="00AE084D"/>
  </w:style>
  <w:style w:type="character" w:styleId="FootnoteTextChar" w:customStyle="1">
    <w:name w:val="Footnote Text Char"/>
    <w:basedOn w:val="DefaultParagraphFont"/>
    <w:link w:val="FootnoteText"/>
    <w:uiPriority w:val="99"/>
    <w:rsid w:val="00AE084D"/>
  </w:style>
  <w:style w:type="character" w:styleId="FootnoteReference">
    <w:name w:val="footnote reference"/>
    <w:basedOn w:val="DefaultParagraphFont"/>
    <w:uiPriority w:val="99"/>
    <w:unhideWhenUsed w:val="1"/>
    <w:rsid w:val="00AE084D"/>
    <w:rPr>
      <w:vertAlign w:val="superscript"/>
    </w:rPr>
  </w:style>
  <w:style w:type="table" w:styleId="TableGrid">
    <w:name w:val="Table Grid"/>
    <w:basedOn w:val="TableNormal"/>
    <w:uiPriority w:val="39"/>
    <w:rsid w:val="0059787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er">
    <w:name w:val="footer"/>
    <w:basedOn w:val="Normal"/>
    <w:link w:val="FooterChar"/>
    <w:uiPriority w:val="99"/>
    <w:unhideWhenUsed w:val="1"/>
    <w:rsid w:val="001D5090"/>
    <w:pPr>
      <w:tabs>
        <w:tab w:val="center" w:pos="4513"/>
        <w:tab w:val="right" w:pos="9026"/>
      </w:tabs>
    </w:pPr>
  </w:style>
  <w:style w:type="character" w:styleId="FooterChar" w:customStyle="1">
    <w:name w:val="Footer Char"/>
    <w:basedOn w:val="DefaultParagraphFont"/>
    <w:link w:val="Footer"/>
    <w:uiPriority w:val="99"/>
    <w:rsid w:val="001D5090"/>
  </w:style>
  <w:style w:type="character" w:styleId="PageNumber">
    <w:name w:val="page number"/>
    <w:basedOn w:val="DefaultParagraphFont"/>
    <w:uiPriority w:val="99"/>
    <w:semiHidden w:val="1"/>
    <w:unhideWhenUsed w:val="1"/>
    <w:rsid w:val="001D5090"/>
  </w:style>
  <w:style w:type="paragraph" w:styleId="Header">
    <w:name w:val="header"/>
    <w:basedOn w:val="Normal"/>
    <w:link w:val="HeaderChar"/>
    <w:uiPriority w:val="99"/>
    <w:unhideWhenUsed w:val="1"/>
    <w:rsid w:val="001D5090"/>
    <w:pPr>
      <w:tabs>
        <w:tab w:val="center" w:pos="4513"/>
        <w:tab w:val="right" w:pos="9026"/>
      </w:tabs>
    </w:pPr>
  </w:style>
  <w:style w:type="character" w:styleId="HeaderChar" w:customStyle="1">
    <w:name w:val="Header Char"/>
    <w:basedOn w:val="DefaultParagraphFont"/>
    <w:link w:val="Header"/>
    <w:uiPriority w:val="99"/>
    <w:rsid w:val="001D5090"/>
  </w:style>
  <w:style w:type="paragraph" w:styleId="BalloonText">
    <w:name w:val="Balloon Text"/>
    <w:basedOn w:val="Normal"/>
    <w:link w:val="BalloonTextChar"/>
    <w:uiPriority w:val="99"/>
    <w:semiHidden w:val="1"/>
    <w:unhideWhenUsed w:val="1"/>
    <w:rsid w:val="008B32FB"/>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8B32FB"/>
    <w:rPr>
      <w:rFonts w:ascii="Segoe UI" w:cs="Segoe UI" w:hAnsi="Segoe UI"/>
      <w:sz w:val="18"/>
      <w:szCs w:val="18"/>
    </w:rPr>
  </w:style>
  <w:style w:type="character" w:styleId="CommentReference">
    <w:name w:val="annotation reference"/>
    <w:basedOn w:val="DefaultParagraphFont"/>
    <w:uiPriority w:val="99"/>
    <w:semiHidden w:val="1"/>
    <w:unhideWhenUsed w:val="1"/>
    <w:rsid w:val="00861335"/>
    <w:rPr>
      <w:sz w:val="16"/>
      <w:szCs w:val="16"/>
    </w:rPr>
  </w:style>
  <w:style w:type="paragraph" w:styleId="CommentText">
    <w:name w:val="annotation text"/>
    <w:basedOn w:val="Normal"/>
    <w:link w:val="CommentTextChar"/>
    <w:uiPriority w:val="99"/>
    <w:semiHidden w:val="1"/>
    <w:unhideWhenUsed w:val="1"/>
    <w:rsid w:val="00861335"/>
    <w:rPr>
      <w:sz w:val="20"/>
      <w:szCs w:val="20"/>
    </w:rPr>
  </w:style>
  <w:style w:type="character" w:styleId="CommentTextChar" w:customStyle="1">
    <w:name w:val="Comment Text Char"/>
    <w:basedOn w:val="DefaultParagraphFont"/>
    <w:link w:val="CommentText"/>
    <w:uiPriority w:val="99"/>
    <w:semiHidden w:val="1"/>
    <w:rsid w:val="00861335"/>
    <w:rPr>
      <w:sz w:val="20"/>
      <w:szCs w:val="20"/>
    </w:rPr>
  </w:style>
  <w:style w:type="paragraph" w:styleId="CommentSubject">
    <w:name w:val="annotation subject"/>
    <w:basedOn w:val="CommentText"/>
    <w:next w:val="CommentText"/>
    <w:link w:val="CommentSubjectChar"/>
    <w:uiPriority w:val="99"/>
    <w:semiHidden w:val="1"/>
    <w:unhideWhenUsed w:val="1"/>
    <w:rsid w:val="00861335"/>
    <w:rPr>
      <w:b w:val="1"/>
      <w:bCs w:val="1"/>
    </w:rPr>
  </w:style>
  <w:style w:type="character" w:styleId="CommentSubjectChar" w:customStyle="1">
    <w:name w:val="Comment Subject Char"/>
    <w:basedOn w:val="CommentTextChar"/>
    <w:link w:val="CommentSubject"/>
    <w:uiPriority w:val="99"/>
    <w:semiHidden w:val="1"/>
    <w:rsid w:val="00861335"/>
    <w:rPr>
      <w:b w:val="1"/>
      <w:bCs w:val="1"/>
      <w:sz w:val="20"/>
      <w:szCs w:val="20"/>
    </w:rPr>
  </w:style>
  <w:style w:type="paragraph" w:styleId="Revision">
    <w:name w:val="Revision"/>
    <w:hidden w:val="1"/>
    <w:uiPriority w:val="99"/>
    <w:semiHidden w:val="1"/>
    <w:rsid w:val="00D10EB7"/>
  </w:style>
  <w:style w:type="paragraph" w:styleId="m-6880524273730303452m5502238243714708580gmail-msolistparagraph" w:customStyle="1">
    <w:name w:val="m_-6880524273730303452m_5502238243714708580gmail-msolistparagraph"/>
    <w:basedOn w:val="Normal"/>
    <w:rsid w:val="002536F8"/>
    <w:pPr>
      <w:spacing w:after="100" w:afterAutospacing="1" w:before="100" w:beforeAutospacing="1"/>
    </w:pPr>
    <w:rPr>
      <w:rFonts w:ascii="Times New Roman" w:cs="Times New Roman" w:eastAsia="Times New Roman" w:hAnsi="Times New Roman"/>
      <w:lang w:eastAsia="en-NZ" w:val="en-NZ"/>
    </w:rPr>
  </w:style>
  <w:style w:type="paragraph" w:styleId="TOC1">
    <w:name w:val="toc 1"/>
    <w:basedOn w:val="Normal"/>
    <w:uiPriority w:val="39"/>
    <w:qFormat w:val="1"/>
    <w:rsid w:val="003A3E1D"/>
    <w:pPr>
      <w:widowControl w:val="0"/>
      <w:pBdr>
        <w:top w:color="1d9759" w:space="1" w:sz="4" w:val="single"/>
        <w:bottom w:color="1d9759" w:space="1" w:sz="4" w:val="single"/>
        <w:between w:color="1d9759" w:space="1" w:sz="4" w:val="single"/>
      </w:pBdr>
      <w:autoSpaceDE w:val="0"/>
      <w:autoSpaceDN w:val="0"/>
      <w:spacing w:after="180" w:before="180"/>
      <w:ind w:left="1134"/>
    </w:pPr>
    <w:rPr>
      <w:rFonts w:ascii="Segoe UI" w:cs="Arial Unicode MS" w:eastAsia="Arial Unicode MS" w:hAnsi="Segoe UI"/>
      <w:color w:val="1d9759"/>
      <w:sz w:val="21"/>
      <w:szCs w:val="21"/>
      <w:lang w:bidi="en-US"/>
    </w:rPr>
  </w:style>
  <w:style w:type="paragraph" w:styleId="TOC2">
    <w:name w:val="toc 2"/>
    <w:basedOn w:val="Normal"/>
    <w:uiPriority w:val="39"/>
    <w:qFormat w:val="1"/>
    <w:rsid w:val="003A3E1D"/>
    <w:pPr>
      <w:widowControl w:val="0"/>
      <w:pBdr>
        <w:top w:color="1d9759" w:space="1" w:sz="4" w:val="single"/>
        <w:bottom w:color="1d9759" w:space="1" w:sz="4" w:val="single"/>
        <w:between w:color="1d9759" w:space="1" w:sz="4" w:val="single"/>
      </w:pBdr>
      <w:autoSpaceDE w:val="0"/>
      <w:autoSpaceDN w:val="0"/>
      <w:spacing w:after="180" w:before="180"/>
      <w:ind w:left="1134"/>
    </w:pPr>
    <w:rPr>
      <w:rFonts w:ascii="Segoe UI" w:cs="Calibri" w:eastAsia="Calibri" w:hAnsi="Segoe UI"/>
      <w:color w:val="1d9759"/>
      <w:sz w:val="21"/>
      <w:szCs w:val="21"/>
      <w:lang w:bidi="en-US"/>
    </w:rPr>
  </w:style>
  <w:style w:type="character" w:styleId="Hyperlink">
    <w:name w:val="Hyperlink"/>
    <w:basedOn w:val="DefaultParagraphFont"/>
    <w:uiPriority w:val="99"/>
    <w:unhideWhenUsed w:val="1"/>
    <w:rsid w:val="003A3E1D"/>
    <w:rPr>
      <w:color w:val="0563c1" w:themeColor="hyperlink"/>
      <w:u w:val="single"/>
    </w:rPr>
  </w:style>
  <w:style w:type="character" w:styleId="Heading1Char" w:customStyle="1">
    <w:name w:val="Heading 1 Char"/>
    <w:basedOn w:val="DefaultParagraphFont"/>
    <w:link w:val="Heading1"/>
    <w:uiPriority w:val="9"/>
    <w:rsid w:val="003A3E1D"/>
    <w:rPr>
      <w:rFonts w:asciiTheme="majorHAnsi" w:cstheme="majorBidi" w:eastAsiaTheme="majorEastAsia" w:hAnsiTheme="majorHAnsi"/>
      <w:color w:val="2e74b5" w:themeColor="accent1" w:themeShade="0000BF"/>
      <w:sz w:val="32"/>
      <w:szCs w:val="32"/>
    </w:rPr>
  </w:style>
  <w:style w:type="paragraph" w:styleId="TOCHeading">
    <w:name w:val="TOC Heading"/>
    <w:basedOn w:val="Heading1"/>
    <w:next w:val="Normal"/>
    <w:uiPriority w:val="39"/>
    <w:unhideWhenUsed w:val="1"/>
    <w:qFormat w:val="1"/>
    <w:rsid w:val="003A3E1D"/>
    <w:pPr>
      <w:spacing w:line="259" w:lineRule="auto"/>
      <w:outlineLvl w:val="9"/>
    </w:pPr>
  </w:style>
  <w:style w:type="paragraph" w:styleId="NoSpacing">
    <w:name w:val="No Spacing"/>
    <w:uiPriority w:val="1"/>
    <w:qFormat w:val="1"/>
    <w:rsid w:val="008D5DA5"/>
  </w:style>
  <w:style w:type="paragraph" w:styleId="NormalWeb">
    <w:name w:val="Normal (Web)"/>
    <w:basedOn w:val="Normal"/>
    <w:uiPriority w:val="99"/>
    <w:semiHidden w:val="1"/>
    <w:unhideWhenUsed w:val="1"/>
    <w:rsid w:val="00E21AFB"/>
    <w:pPr>
      <w:spacing w:after="100" w:afterAutospacing="1" w:before="100" w:beforeAutospacing="1"/>
    </w:pPr>
    <w:rPr>
      <w:rFonts w:ascii="Times New Roman" w:cs="Times New Roman" w:eastAsia="Times New Roman" w:hAnsi="Times New Roman"/>
      <w:lang w:eastAsia="en-NZ" w:val="en-NZ"/>
    </w:rPr>
  </w:style>
  <w:style w:type="character" w:styleId="UnresolvedMention1" w:customStyle="1">
    <w:name w:val="Unresolved Mention1"/>
    <w:basedOn w:val="DefaultParagraphFont"/>
    <w:uiPriority w:val="99"/>
    <w:semiHidden w:val="1"/>
    <w:unhideWhenUsed w:val="1"/>
    <w:rsid w:val="002C476B"/>
    <w:rPr>
      <w:color w:val="605e5c"/>
      <w:shd w:color="auto" w:fill="e1dfdd" w:val="clear"/>
    </w:rPr>
  </w:style>
  <w:style w:type="character" w:styleId="st" w:customStyle="1">
    <w:name w:val="st"/>
    <w:basedOn w:val="DefaultParagraphFont"/>
    <w:rsid w:val="00DA1161"/>
  </w:style>
  <w:style w:type="character" w:styleId="Emphasis">
    <w:name w:val="Emphasis"/>
    <w:basedOn w:val="DefaultParagraphFont"/>
    <w:uiPriority w:val="20"/>
    <w:qFormat w:val="1"/>
    <w:rsid w:val="00DA1161"/>
    <w:rPr>
      <w:i w:val="1"/>
      <w:i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tbinternet.ohchr.org/_layouts/treatybodyexternal/Download.aspx?symbolno=CRC%2fC%2fGC%2f15&amp;Lang=en" TargetMode="External"/><Relationship Id="rId10" Type="http://schemas.openxmlformats.org/officeDocument/2006/relationships/footer" Target="footer1.xml"/><Relationship Id="rId13" Type="http://schemas.openxmlformats.org/officeDocument/2006/relationships/hyperlink" Target="https://systemreview.health.govt.nz/" TargetMode="External"/><Relationship Id="rId12" Type="http://schemas.openxmlformats.org/officeDocument/2006/relationships/hyperlink" Target="https://www.health.govt.nz/nz-health-statistics/health-statistics-and-data-sets/oral-health-data-and-stats/age-5-and-year-8-oral-health-data-community-oral-health-servic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5" Type="http://schemas.openxmlformats.org/officeDocument/2006/relationships/hyperlink" Target="https://waitangitribunal.govt.nz/news/report-on-stage-one-of-health-services-and-outcomes-released/" TargetMode="External"/><Relationship Id="rId14" Type="http://schemas.openxmlformats.org/officeDocument/2006/relationships/hyperlink" Target="https://doi.org/10.1111/obr.12868"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6g/3CwWWddnzZhUVhW+ARXPdww==">CgMxLjAyDmguZnRvb3IzaXlnYzJjMg5oLnZjc3Jzd251Z3hzbjIOaC5yaHRvOGh1dHl1aTEyDmguOTA0a3B0Mzd4d2JtMg5oLnV6aWpzZHF1eGs2dDIOaC5venh0d2xiOWNybnMyDmguM2RleHF4NGkwZGN3Mg1oLnQ3b3B6bzViajRwMg5oLjhkcjB3MHR4Mm95ZTIOaC42MW9idHoyYjlyNnIyDmguNzgzMmpwcWZpODJkMg5oLmI2dGZkNGdvN3lqNzINaC4xYzlvbzRpcTJhcDgAciExalR1UmlPQXJJUFRIZ3B2VFBoSlUtUjdNY2g2ekhJWT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2020-07-13T07:42:00Z</dcterms:created>
  <dc:creator>Microsoft Office User</dc:creator>
</cp:coreProperties>
</file>